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E3" w:rsidRDefault="00330745" w:rsidP="00C91A66">
      <w:pPr>
        <w:ind w:left="-284" w:firstLine="426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30745">
        <w:rPr>
          <w:rFonts w:ascii="Arial" w:hAnsi="Arial" w:cs="Arial"/>
          <w:b/>
          <w:sz w:val="20"/>
          <w:szCs w:val="20"/>
        </w:rPr>
        <w:t>Социально-экономическое развитие Ленинградской области</w:t>
      </w:r>
      <w:r>
        <w:rPr>
          <w:rFonts w:ascii="Arial" w:hAnsi="Arial" w:cs="Arial"/>
          <w:b/>
          <w:sz w:val="20"/>
          <w:szCs w:val="20"/>
        </w:rPr>
        <w:t xml:space="preserve"> по итогам 2016 года</w:t>
      </w:r>
    </w:p>
    <w:p w:rsidR="00330745" w:rsidRDefault="00330745" w:rsidP="00C91A66">
      <w:pPr>
        <w:ind w:left="-284" w:firstLine="426"/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330745">
        <w:rPr>
          <w:rFonts w:ascii="Arial" w:hAnsi="Arial" w:cs="Arial"/>
          <w:i/>
          <w:sz w:val="20"/>
          <w:szCs w:val="20"/>
        </w:rPr>
        <w:t>Общее географическое положение</w:t>
      </w:r>
    </w:p>
    <w:p w:rsidR="00330745" w:rsidRDefault="00330745" w:rsidP="00C91A66">
      <w:pPr>
        <w:ind w:left="-284" w:firstLine="426"/>
        <w:jc w:val="both"/>
        <w:rPr>
          <w:rFonts w:ascii="Arial" w:hAnsi="Arial" w:cs="Arial"/>
          <w:sz w:val="20"/>
          <w:szCs w:val="20"/>
        </w:rPr>
      </w:pPr>
      <w:r w:rsidRPr="00330745">
        <w:rPr>
          <w:rFonts w:ascii="Arial" w:hAnsi="Arial" w:cs="Arial"/>
          <w:sz w:val="20"/>
          <w:szCs w:val="20"/>
        </w:rPr>
        <w:t>Ленингр</w:t>
      </w:r>
      <w:r>
        <w:rPr>
          <w:rFonts w:ascii="Arial" w:hAnsi="Arial" w:cs="Arial"/>
          <w:sz w:val="20"/>
          <w:szCs w:val="20"/>
        </w:rPr>
        <w:t>а</w:t>
      </w:r>
      <w:r w:rsidRPr="00330745">
        <w:rPr>
          <w:rFonts w:ascii="Arial" w:hAnsi="Arial" w:cs="Arial"/>
          <w:sz w:val="20"/>
          <w:szCs w:val="20"/>
        </w:rPr>
        <w:t xml:space="preserve">дская </w:t>
      </w:r>
      <w:r>
        <w:rPr>
          <w:rFonts w:ascii="Arial" w:hAnsi="Arial" w:cs="Arial"/>
          <w:sz w:val="20"/>
          <w:szCs w:val="20"/>
        </w:rPr>
        <w:t>о</w:t>
      </w:r>
      <w:r w:rsidRPr="00330745">
        <w:rPr>
          <w:rFonts w:ascii="Arial" w:hAnsi="Arial" w:cs="Arial"/>
          <w:sz w:val="20"/>
          <w:szCs w:val="20"/>
        </w:rPr>
        <w:t>бласть — субъект Российской Федерации, расположенный на северо-западе европейской части страны. Входит в состав Северо-Западного федерального округа и Северо-западного экономического района.</w:t>
      </w:r>
      <w:r>
        <w:rPr>
          <w:rFonts w:ascii="Arial" w:hAnsi="Arial" w:cs="Arial"/>
          <w:sz w:val="20"/>
          <w:szCs w:val="20"/>
        </w:rPr>
        <w:t xml:space="preserve"> </w:t>
      </w:r>
      <w:r w:rsidRPr="00330745">
        <w:rPr>
          <w:rFonts w:ascii="Arial" w:hAnsi="Arial" w:cs="Arial"/>
          <w:sz w:val="20"/>
          <w:szCs w:val="20"/>
        </w:rPr>
        <w:t xml:space="preserve">Территория — 83 908 </w:t>
      </w:r>
      <w:r>
        <w:rPr>
          <w:rFonts w:ascii="Arial" w:hAnsi="Arial" w:cs="Arial"/>
          <w:sz w:val="20"/>
          <w:szCs w:val="20"/>
        </w:rPr>
        <w:t>кв.</w:t>
      </w:r>
      <w:r w:rsidRPr="00330745">
        <w:rPr>
          <w:rFonts w:ascii="Arial" w:hAnsi="Arial" w:cs="Arial"/>
          <w:sz w:val="20"/>
          <w:szCs w:val="20"/>
        </w:rPr>
        <w:t>км</w:t>
      </w:r>
      <w:r>
        <w:rPr>
          <w:rFonts w:ascii="Arial" w:hAnsi="Arial" w:cs="Arial"/>
          <w:sz w:val="20"/>
          <w:szCs w:val="20"/>
        </w:rPr>
        <w:t>.</w:t>
      </w:r>
      <w:r w:rsidRPr="00330745">
        <w:rPr>
          <w:rFonts w:ascii="Arial" w:hAnsi="Arial" w:cs="Arial"/>
          <w:sz w:val="20"/>
          <w:szCs w:val="20"/>
        </w:rPr>
        <w:t xml:space="preserve"> С запада на восток область протянулась на 500 км, а наибольшая протяжённость с севера на юг составляет 320 км.</w:t>
      </w:r>
      <w:r>
        <w:rPr>
          <w:rFonts w:ascii="Arial" w:hAnsi="Arial" w:cs="Arial"/>
          <w:sz w:val="20"/>
          <w:szCs w:val="20"/>
        </w:rPr>
        <w:t xml:space="preserve"> </w:t>
      </w:r>
      <w:r w:rsidRPr="00330745">
        <w:rPr>
          <w:rFonts w:ascii="Arial" w:hAnsi="Arial" w:cs="Arial"/>
          <w:sz w:val="20"/>
          <w:szCs w:val="20"/>
        </w:rPr>
        <w:t>Численность населения — 1 791 916 чел. (</w:t>
      </w:r>
      <w:r>
        <w:rPr>
          <w:rFonts w:ascii="Arial" w:hAnsi="Arial" w:cs="Arial"/>
          <w:sz w:val="20"/>
          <w:szCs w:val="20"/>
        </w:rPr>
        <w:t>01.01.</w:t>
      </w:r>
      <w:r w:rsidRPr="00330745">
        <w:rPr>
          <w:rFonts w:ascii="Arial" w:hAnsi="Arial" w:cs="Arial"/>
          <w:sz w:val="20"/>
          <w:szCs w:val="20"/>
        </w:rPr>
        <w:t>2017)</w:t>
      </w:r>
      <w:r>
        <w:rPr>
          <w:rFonts w:ascii="Arial" w:hAnsi="Arial" w:cs="Arial"/>
          <w:sz w:val="20"/>
          <w:szCs w:val="20"/>
        </w:rPr>
        <w:t xml:space="preserve">, плотность </w:t>
      </w:r>
      <w:r w:rsidRPr="00330745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,</w:t>
      </w:r>
      <w:r w:rsidRPr="00330745">
        <w:rPr>
          <w:rFonts w:ascii="Arial" w:hAnsi="Arial" w:cs="Arial"/>
          <w:sz w:val="20"/>
          <w:szCs w:val="20"/>
        </w:rPr>
        <w:t>36 чел./</w:t>
      </w:r>
      <w:r>
        <w:rPr>
          <w:rFonts w:ascii="Arial" w:hAnsi="Arial" w:cs="Arial"/>
          <w:sz w:val="20"/>
          <w:szCs w:val="20"/>
        </w:rPr>
        <w:t>кв.км</w:t>
      </w:r>
      <w:r w:rsidRPr="00330745">
        <w:rPr>
          <w:rFonts w:ascii="Arial" w:hAnsi="Arial" w:cs="Arial"/>
          <w:sz w:val="20"/>
          <w:szCs w:val="20"/>
        </w:rPr>
        <w:t>.</w:t>
      </w:r>
    </w:p>
    <w:p w:rsidR="00330745" w:rsidRDefault="00330745" w:rsidP="00C91A66">
      <w:pPr>
        <w:ind w:left="-284" w:firstLine="426"/>
        <w:jc w:val="both"/>
        <w:rPr>
          <w:rFonts w:ascii="Arial" w:hAnsi="Arial" w:cs="Arial"/>
          <w:sz w:val="20"/>
          <w:szCs w:val="20"/>
        </w:rPr>
      </w:pPr>
      <w:r w:rsidRPr="00330745">
        <w:rPr>
          <w:rFonts w:ascii="Arial" w:hAnsi="Arial" w:cs="Arial"/>
          <w:sz w:val="20"/>
          <w:szCs w:val="20"/>
        </w:rPr>
        <w:t>Граничит</w:t>
      </w:r>
      <w:r>
        <w:rPr>
          <w:rFonts w:ascii="Arial" w:hAnsi="Arial" w:cs="Arial"/>
          <w:sz w:val="20"/>
          <w:szCs w:val="20"/>
        </w:rPr>
        <w:t xml:space="preserve"> </w:t>
      </w:r>
      <w:r w:rsidRPr="00330745">
        <w:rPr>
          <w:rFonts w:ascii="Arial" w:hAnsi="Arial" w:cs="Arial"/>
          <w:sz w:val="20"/>
          <w:szCs w:val="20"/>
        </w:rPr>
        <w:t>на севере — с Республикой Карелия</w:t>
      </w:r>
      <w:r>
        <w:rPr>
          <w:rFonts w:ascii="Arial" w:hAnsi="Arial" w:cs="Arial"/>
          <w:sz w:val="20"/>
          <w:szCs w:val="20"/>
        </w:rPr>
        <w:t xml:space="preserve">, </w:t>
      </w:r>
      <w:r w:rsidRPr="00330745">
        <w:rPr>
          <w:rFonts w:ascii="Arial" w:hAnsi="Arial" w:cs="Arial"/>
          <w:sz w:val="20"/>
          <w:szCs w:val="20"/>
        </w:rPr>
        <w:t>на востоке — с Вологодской областью</w:t>
      </w:r>
      <w:r>
        <w:rPr>
          <w:rFonts w:ascii="Arial" w:hAnsi="Arial" w:cs="Arial"/>
          <w:sz w:val="20"/>
          <w:szCs w:val="20"/>
        </w:rPr>
        <w:t xml:space="preserve">, </w:t>
      </w:r>
      <w:r w:rsidRPr="00330745">
        <w:rPr>
          <w:rFonts w:ascii="Arial" w:hAnsi="Arial" w:cs="Arial"/>
          <w:sz w:val="20"/>
          <w:szCs w:val="20"/>
        </w:rPr>
        <w:t>на юго-востоке — с Новгородской областью</w:t>
      </w:r>
      <w:r>
        <w:rPr>
          <w:rFonts w:ascii="Arial" w:hAnsi="Arial" w:cs="Arial"/>
          <w:sz w:val="20"/>
          <w:szCs w:val="20"/>
        </w:rPr>
        <w:t xml:space="preserve">, </w:t>
      </w:r>
      <w:r w:rsidRPr="00330745">
        <w:rPr>
          <w:rFonts w:ascii="Arial" w:hAnsi="Arial" w:cs="Arial"/>
          <w:sz w:val="20"/>
          <w:szCs w:val="20"/>
        </w:rPr>
        <w:t>на юге — с Псковской областью</w:t>
      </w:r>
      <w:r>
        <w:rPr>
          <w:rFonts w:ascii="Arial" w:hAnsi="Arial" w:cs="Arial"/>
          <w:sz w:val="20"/>
          <w:szCs w:val="20"/>
        </w:rPr>
        <w:t>, а также с</w:t>
      </w:r>
      <w:r w:rsidRPr="00330745">
        <w:rPr>
          <w:rFonts w:ascii="Arial" w:hAnsi="Arial" w:cs="Arial"/>
          <w:sz w:val="20"/>
          <w:szCs w:val="20"/>
        </w:rPr>
        <w:t xml:space="preserve"> Санкт-Петербургом (</w:t>
      </w:r>
      <w:proofErr w:type="spellStart"/>
      <w:r w:rsidRPr="00330745">
        <w:rPr>
          <w:rFonts w:ascii="Arial" w:hAnsi="Arial" w:cs="Arial"/>
          <w:sz w:val="20"/>
          <w:szCs w:val="20"/>
        </w:rPr>
        <w:t>полуанклав</w:t>
      </w:r>
      <w:proofErr w:type="spellEnd"/>
      <w:r w:rsidRPr="0033074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Границы с </w:t>
      </w:r>
      <w:r w:rsidRPr="00330745">
        <w:rPr>
          <w:rFonts w:ascii="Arial" w:hAnsi="Arial" w:cs="Arial"/>
          <w:sz w:val="20"/>
          <w:szCs w:val="20"/>
        </w:rPr>
        <w:t>Европейским союзом:</w:t>
      </w:r>
      <w:r>
        <w:rPr>
          <w:rFonts w:ascii="Arial" w:hAnsi="Arial" w:cs="Arial"/>
          <w:sz w:val="20"/>
          <w:szCs w:val="20"/>
        </w:rPr>
        <w:t xml:space="preserve"> </w:t>
      </w:r>
      <w:r w:rsidRPr="00330745">
        <w:rPr>
          <w:rFonts w:ascii="Arial" w:hAnsi="Arial" w:cs="Arial"/>
          <w:sz w:val="20"/>
          <w:szCs w:val="20"/>
        </w:rPr>
        <w:t>на юго-западе — с Эстонией</w:t>
      </w:r>
      <w:r>
        <w:rPr>
          <w:rFonts w:ascii="Arial" w:hAnsi="Arial" w:cs="Arial"/>
          <w:sz w:val="20"/>
          <w:szCs w:val="20"/>
        </w:rPr>
        <w:t xml:space="preserve">, </w:t>
      </w:r>
      <w:r w:rsidRPr="00330745">
        <w:rPr>
          <w:rFonts w:ascii="Arial" w:hAnsi="Arial" w:cs="Arial"/>
          <w:sz w:val="20"/>
          <w:szCs w:val="20"/>
        </w:rPr>
        <w:t>на северо-западе — с Финляндией</w:t>
      </w:r>
      <w:r>
        <w:rPr>
          <w:rFonts w:ascii="Arial" w:hAnsi="Arial" w:cs="Arial"/>
          <w:sz w:val="20"/>
          <w:szCs w:val="20"/>
        </w:rPr>
        <w:t xml:space="preserve">. </w:t>
      </w:r>
      <w:r w:rsidRPr="00330745">
        <w:rPr>
          <w:rFonts w:ascii="Arial" w:hAnsi="Arial" w:cs="Arial"/>
          <w:sz w:val="20"/>
          <w:szCs w:val="20"/>
        </w:rPr>
        <w:t>С запада территория области омывается водами Финского залива</w:t>
      </w:r>
      <w:r>
        <w:rPr>
          <w:rStyle w:val="a5"/>
          <w:rFonts w:ascii="Arial" w:hAnsi="Arial" w:cs="Arial"/>
          <w:sz w:val="20"/>
          <w:szCs w:val="20"/>
        </w:rPr>
        <w:footnoteReference w:id="1"/>
      </w:r>
      <w:r w:rsidRPr="00330745">
        <w:rPr>
          <w:rFonts w:ascii="Arial" w:hAnsi="Arial" w:cs="Arial"/>
          <w:sz w:val="20"/>
          <w:szCs w:val="20"/>
        </w:rPr>
        <w:t>.</w:t>
      </w:r>
    </w:p>
    <w:p w:rsidR="00496ACB" w:rsidRPr="00496ACB" w:rsidRDefault="00496ACB" w:rsidP="00C91A66">
      <w:pPr>
        <w:ind w:left="-284" w:firstLine="426"/>
        <w:jc w:val="both"/>
        <w:rPr>
          <w:rFonts w:ascii="Arial" w:hAnsi="Arial" w:cs="Arial"/>
          <w:sz w:val="20"/>
          <w:szCs w:val="20"/>
        </w:rPr>
      </w:pPr>
      <w:r w:rsidRPr="00496ACB">
        <w:rPr>
          <w:rFonts w:ascii="Arial" w:hAnsi="Arial" w:cs="Arial"/>
          <w:sz w:val="20"/>
          <w:szCs w:val="20"/>
        </w:rPr>
        <w:t>Важными факторами, влияющими на развитие региона, являются:</w:t>
      </w:r>
    </w:p>
    <w:p w:rsidR="00496ACB" w:rsidRPr="00496ACB" w:rsidRDefault="00496ACB" w:rsidP="00C91A66">
      <w:pPr>
        <w:pStyle w:val="a6"/>
        <w:numPr>
          <w:ilvl w:val="0"/>
          <w:numId w:val="1"/>
        </w:numPr>
        <w:ind w:left="-284" w:firstLine="710"/>
        <w:jc w:val="both"/>
        <w:rPr>
          <w:rFonts w:ascii="Arial" w:hAnsi="Arial" w:cs="Arial"/>
          <w:sz w:val="20"/>
          <w:szCs w:val="20"/>
        </w:rPr>
      </w:pPr>
      <w:r w:rsidRPr="00496ACB">
        <w:rPr>
          <w:rFonts w:ascii="Arial" w:hAnsi="Arial" w:cs="Arial"/>
          <w:sz w:val="20"/>
          <w:szCs w:val="20"/>
        </w:rPr>
        <w:t>приграничное положение (граница с двумя странами ЕС);</w:t>
      </w:r>
    </w:p>
    <w:p w:rsidR="00496ACB" w:rsidRPr="00496ACB" w:rsidRDefault="00496ACB" w:rsidP="00C91A66">
      <w:pPr>
        <w:pStyle w:val="a6"/>
        <w:numPr>
          <w:ilvl w:val="0"/>
          <w:numId w:val="1"/>
        </w:numPr>
        <w:ind w:left="-284" w:firstLine="710"/>
        <w:jc w:val="both"/>
        <w:rPr>
          <w:rFonts w:ascii="Arial" w:hAnsi="Arial" w:cs="Arial"/>
          <w:sz w:val="20"/>
          <w:szCs w:val="20"/>
        </w:rPr>
      </w:pPr>
      <w:r w:rsidRPr="00496ACB">
        <w:rPr>
          <w:rFonts w:ascii="Arial" w:hAnsi="Arial" w:cs="Arial"/>
          <w:sz w:val="20"/>
          <w:szCs w:val="20"/>
        </w:rPr>
        <w:t>выгодное приморское положение (берег Балтийского моря), наличие крупных действующих и строящихся морских портов;</w:t>
      </w:r>
    </w:p>
    <w:p w:rsidR="00496ACB" w:rsidRPr="00496ACB" w:rsidRDefault="00496ACB" w:rsidP="00C91A66">
      <w:pPr>
        <w:pStyle w:val="a6"/>
        <w:numPr>
          <w:ilvl w:val="0"/>
          <w:numId w:val="1"/>
        </w:numPr>
        <w:ind w:left="-284" w:firstLine="710"/>
        <w:jc w:val="both"/>
        <w:rPr>
          <w:rFonts w:ascii="Arial" w:hAnsi="Arial" w:cs="Arial"/>
          <w:sz w:val="20"/>
          <w:szCs w:val="20"/>
        </w:rPr>
      </w:pPr>
      <w:r w:rsidRPr="00496ACB">
        <w:rPr>
          <w:rFonts w:ascii="Arial" w:hAnsi="Arial" w:cs="Arial"/>
          <w:sz w:val="20"/>
          <w:szCs w:val="20"/>
        </w:rPr>
        <w:t>транспортный узел, расположенный в створе панъевропейского транспортного коридора и международного транспортного коридора "Север-Юг";</w:t>
      </w:r>
    </w:p>
    <w:p w:rsidR="00496ACB" w:rsidRPr="00496ACB" w:rsidRDefault="00496ACB" w:rsidP="00C91A66">
      <w:pPr>
        <w:pStyle w:val="a6"/>
        <w:numPr>
          <w:ilvl w:val="0"/>
          <w:numId w:val="1"/>
        </w:numPr>
        <w:ind w:left="-284" w:firstLine="710"/>
        <w:jc w:val="both"/>
        <w:rPr>
          <w:rFonts w:ascii="Arial" w:hAnsi="Arial" w:cs="Arial"/>
          <w:sz w:val="20"/>
          <w:szCs w:val="20"/>
        </w:rPr>
      </w:pPr>
      <w:proofErr w:type="spellStart"/>
      <w:r w:rsidRPr="00496ACB">
        <w:rPr>
          <w:rFonts w:ascii="Arial" w:hAnsi="Arial" w:cs="Arial"/>
          <w:sz w:val="20"/>
          <w:szCs w:val="20"/>
        </w:rPr>
        <w:t>мультимодальность</w:t>
      </w:r>
      <w:proofErr w:type="spellEnd"/>
      <w:r w:rsidRPr="00496ACB">
        <w:rPr>
          <w:rFonts w:ascii="Arial" w:hAnsi="Arial" w:cs="Arial"/>
          <w:sz w:val="20"/>
          <w:szCs w:val="20"/>
        </w:rPr>
        <w:t xml:space="preserve"> перевозок: пересечение морских, речных, железнодорожных, автомобильных, воздушных, трубопроводных и телекоммуникационных трасс;</w:t>
      </w:r>
    </w:p>
    <w:p w:rsidR="00496ACB" w:rsidRPr="00496ACB" w:rsidRDefault="00496ACB" w:rsidP="00C91A66">
      <w:pPr>
        <w:pStyle w:val="a6"/>
        <w:numPr>
          <w:ilvl w:val="0"/>
          <w:numId w:val="1"/>
        </w:numPr>
        <w:ind w:left="-284" w:firstLine="710"/>
        <w:jc w:val="both"/>
        <w:rPr>
          <w:rFonts w:ascii="Arial" w:hAnsi="Arial" w:cs="Arial"/>
          <w:sz w:val="20"/>
          <w:szCs w:val="20"/>
        </w:rPr>
      </w:pPr>
      <w:r w:rsidRPr="00496ACB">
        <w:rPr>
          <w:rFonts w:ascii="Arial" w:hAnsi="Arial" w:cs="Arial"/>
          <w:sz w:val="20"/>
          <w:szCs w:val="20"/>
        </w:rPr>
        <w:t>наличие административной границы с Санкт-Петербургом;</w:t>
      </w:r>
    </w:p>
    <w:p w:rsidR="00496ACB" w:rsidRPr="00496ACB" w:rsidRDefault="00496ACB" w:rsidP="00C91A66">
      <w:pPr>
        <w:pStyle w:val="a6"/>
        <w:numPr>
          <w:ilvl w:val="0"/>
          <w:numId w:val="1"/>
        </w:numPr>
        <w:ind w:left="-284" w:firstLine="710"/>
        <w:jc w:val="both"/>
        <w:rPr>
          <w:rFonts w:ascii="Arial" w:hAnsi="Arial" w:cs="Arial"/>
          <w:sz w:val="20"/>
          <w:szCs w:val="20"/>
        </w:rPr>
      </w:pPr>
      <w:r w:rsidRPr="00496ACB">
        <w:rPr>
          <w:rFonts w:ascii="Arial" w:hAnsi="Arial" w:cs="Arial"/>
          <w:sz w:val="20"/>
          <w:szCs w:val="20"/>
        </w:rPr>
        <w:t>реализация на территории Ленинградской области инфраструктурных проектов федерального значения.</w:t>
      </w:r>
    </w:p>
    <w:p w:rsidR="00496ACB" w:rsidRDefault="00496ACB" w:rsidP="00C91A66">
      <w:pPr>
        <w:ind w:left="-284" w:firstLine="426"/>
        <w:jc w:val="both"/>
        <w:rPr>
          <w:rFonts w:ascii="Arial" w:hAnsi="Arial" w:cs="Arial"/>
          <w:sz w:val="20"/>
          <w:szCs w:val="20"/>
        </w:rPr>
      </w:pPr>
      <w:r w:rsidRPr="00496ACB">
        <w:rPr>
          <w:rFonts w:ascii="Arial" w:hAnsi="Arial" w:cs="Arial"/>
          <w:sz w:val="20"/>
          <w:szCs w:val="20"/>
        </w:rPr>
        <w:t>Данные факторы вместе с проводимой активной политикой Ленинградской области оказывают существенное влияние на инвестиционную привлекательность региона, которая высоко оценивается экспертным сообществом.</w:t>
      </w:r>
    </w:p>
    <w:p w:rsidR="00330745" w:rsidRDefault="00496ACB" w:rsidP="00C91A66">
      <w:pPr>
        <w:ind w:left="-284" w:firstLine="426"/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496ACB">
        <w:rPr>
          <w:rFonts w:ascii="Arial" w:hAnsi="Arial" w:cs="Arial"/>
          <w:i/>
          <w:sz w:val="20"/>
          <w:szCs w:val="20"/>
        </w:rPr>
        <w:t>Административно-территориальное деление</w:t>
      </w:r>
    </w:p>
    <w:p w:rsidR="00496ACB" w:rsidRDefault="00496ACB" w:rsidP="00C91A66">
      <w:pPr>
        <w:ind w:left="-284" w:firstLine="426"/>
        <w:jc w:val="both"/>
        <w:rPr>
          <w:rFonts w:ascii="Arial" w:hAnsi="Arial" w:cs="Arial"/>
          <w:sz w:val="20"/>
          <w:szCs w:val="20"/>
        </w:rPr>
      </w:pPr>
      <w:r w:rsidRPr="00496ACB">
        <w:rPr>
          <w:rFonts w:ascii="Arial" w:hAnsi="Arial" w:cs="Arial"/>
          <w:sz w:val="20"/>
          <w:szCs w:val="20"/>
        </w:rPr>
        <w:t>Ленинградская область включает в себя один городской округ и 17 муниципальных районов, в состав которых входят 61 городское поселение и 142 сельских поселения. Общее количество муниципальных образований — 221. На территории Ленинградской области расположено 2 945 населенных пунктов, в том числе 63 городских и 2 882 сельских</w:t>
      </w:r>
      <w:r>
        <w:rPr>
          <w:rFonts w:ascii="Arial" w:hAnsi="Arial" w:cs="Arial"/>
          <w:sz w:val="20"/>
          <w:szCs w:val="20"/>
        </w:rPr>
        <w:t>.</w:t>
      </w:r>
      <w:r w:rsidRPr="00496ACB">
        <w:t xml:space="preserve"> </w:t>
      </w:r>
      <w:r w:rsidRPr="00496ACB">
        <w:rPr>
          <w:rFonts w:ascii="Arial" w:hAnsi="Arial" w:cs="Arial"/>
          <w:sz w:val="20"/>
          <w:szCs w:val="20"/>
        </w:rPr>
        <w:t xml:space="preserve">Крупнейшие города Ленинградской области на 1 января 2016 года: </w:t>
      </w:r>
      <w:proofErr w:type="gramStart"/>
      <w:r w:rsidRPr="00496ACB">
        <w:rPr>
          <w:rFonts w:ascii="Arial" w:hAnsi="Arial" w:cs="Arial"/>
          <w:sz w:val="20"/>
          <w:szCs w:val="20"/>
        </w:rPr>
        <w:t>Гатчина (95,6 тыс. человек); Выборг (79,4 тыс. человек); Сосновый Бор (67,6 тыс. человек); Всеволожск (67,9 тыс. человек), Тихвин (58,0 тыс. человек), Кириши (52,3 тыс. человек).</w:t>
      </w:r>
      <w:proofErr w:type="gramEnd"/>
    </w:p>
    <w:p w:rsidR="00496ACB" w:rsidRDefault="00496ACB" w:rsidP="00C91A66">
      <w:pPr>
        <w:ind w:left="-284" w:firstLine="426"/>
        <w:jc w:val="center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Экономика региона</w:t>
      </w:r>
      <w:r>
        <w:rPr>
          <w:rStyle w:val="a5"/>
          <w:rFonts w:ascii="Arial" w:hAnsi="Arial" w:cs="Arial"/>
          <w:sz w:val="20"/>
          <w:szCs w:val="20"/>
        </w:rPr>
        <w:footnoteReference w:id="2"/>
      </w:r>
    </w:p>
    <w:p w:rsidR="00496ACB" w:rsidRDefault="00496ACB" w:rsidP="00C91A66">
      <w:pPr>
        <w:ind w:left="-284" w:firstLine="426"/>
        <w:jc w:val="both"/>
        <w:rPr>
          <w:rFonts w:ascii="Arial" w:hAnsi="Arial" w:cs="Arial"/>
          <w:sz w:val="20"/>
          <w:szCs w:val="20"/>
        </w:rPr>
      </w:pPr>
      <w:r w:rsidRPr="00496ACB">
        <w:rPr>
          <w:rFonts w:ascii="Arial" w:hAnsi="Arial" w:cs="Arial"/>
          <w:sz w:val="20"/>
          <w:szCs w:val="20"/>
        </w:rPr>
        <w:t>Ленинградская область является одним из лидеров по экономическому развитию в Северо-Западном федеральном округе. Основу экономики области составляет промышленность, на ее долю приходи</w:t>
      </w:r>
      <w:r>
        <w:rPr>
          <w:rFonts w:ascii="Arial" w:hAnsi="Arial" w:cs="Arial"/>
          <w:sz w:val="20"/>
          <w:szCs w:val="20"/>
        </w:rPr>
        <w:t>тся около 34,4% в структуре ВРП.</w:t>
      </w:r>
      <w:r w:rsidRPr="00496AC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96ACB">
        <w:rPr>
          <w:rFonts w:ascii="Arial" w:hAnsi="Arial" w:cs="Arial"/>
          <w:sz w:val="20"/>
          <w:szCs w:val="20"/>
        </w:rPr>
        <w:t>В промышленном комплексе Ленинградской области представлены следующие отрасли: машиностроение, автомобилестроение, судостроение, химическое производство, нефтехимия, лесопереработка, целлюлозно-бумажное производство, алюминиевая промышленность, промышленность строительных материалов и др. Ключевыми предприятиями, расположенными в Ленинградской области, являются ЗАО "Форд Мотор Компани", ЗАО "Филип Моррис Ижора", ООО "ПО "</w:t>
      </w:r>
      <w:proofErr w:type="spellStart"/>
      <w:r w:rsidRPr="00496ACB">
        <w:rPr>
          <w:rFonts w:ascii="Arial" w:hAnsi="Arial" w:cs="Arial"/>
          <w:sz w:val="20"/>
          <w:szCs w:val="20"/>
        </w:rPr>
        <w:t>Киришинефтеоргсинтез</w:t>
      </w:r>
      <w:proofErr w:type="spellEnd"/>
      <w:r w:rsidRPr="00496ACB">
        <w:rPr>
          <w:rFonts w:ascii="Arial" w:hAnsi="Arial" w:cs="Arial"/>
          <w:sz w:val="20"/>
          <w:szCs w:val="20"/>
        </w:rPr>
        <w:t>", ООО "</w:t>
      </w:r>
      <w:proofErr w:type="spellStart"/>
      <w:r w:rsidRPr="00496ACB">
        <w:rPr>
          <w:rFonts w:ascii="Arial" w:hAnsi="Arial" w:cs="Arial"/>
          <w:sz w:val="20"/>
          <w:szCs w:val="20"/>
        </w:rPr>
        <w:t>Нокиан</w:t>
      </w:r>
      <w:proofErr w:type="spellEnd"/>
      <w:r w:rsidRPr="00496ACB">
        <w:rPr>
          <w:rFonts w:ascii="Arial" w:hAnsi="Arial" w:cs="Arial"/>
          <w:sz w:val="20"/>
          <w:szCs w:val="20"/>
        </w:rPr>
        <w:t xml:space="preserve"> Шина", </w:t>
      </w:r>
      <w:proofErr w:type="spellStart"/>
      <w:r w:rsidRPr="00496ACB">
        <w:rPr>
          <w:rFonts w:ascii="Arial" w:hAnsi="Arial" w:cs="Arial"/>
          <w:sz w:val="20"/>
          <w:szCs w:val="20"/>
        </w:rPr>
        <w:t>Gestamp</w:t>
      </w:r>
      <w:proofErr w:type="spellEnd"/>
      <w:r w:rsidRPr="00496A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ACB">
        <w:rPr>
          <w:rFonts w:ascii="Arial" w:hAnsi="Arial" w:cs="Arial"/>
          <w:sz w:val="20"/>
          <w:szCs w:val="20"/>
        </w:rPr>
        <w:t>Automocion</w:t>
      </w:r>
      <w:proofErr w:type="spellEnd"/>
      <w:r w:rsidRPr="00496AC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96ACB">
        <w:rPr>
          <w:rFonts w:ascii="Arial" w:hAnsi="Arial" w:cs="Arial"/>
          <w:sz w:val="20"/>
          <w:szCs w:val="20"/>
        </w:rPr>
        <w:t>Caterpillar</w:t>
      </w:r>
      <w:proofErr w:type="spellEnd"/>
      <w:r w:rsidRPr="00496ACB">
        <w:rPr>
          <w:rFonts w:ascii="Arial" w:hAnsi="Arial" w:cs="Arial"/>
          <w:sz w:val="20"/>
          <w:szCs w:val="20"/>
        </w:rPr>
        <w:t>, ОАО "Тихвинский вагоностроительный завод", ООО "ММ-Ефимовский" и др.</w:t>
      </w:r>
      <w:proofErr w:type="gramEnd"/>
    </w:p>
    <w:p w:rsidR="00496ACB" w:rsidRPr="00496ACB" w:rsidRDefault="00496ACB" w:rsidP="00C91A66">
      <w:pPr>
        <w:ind w:left="-284" w:firstLine="426"/>
        <w:jc w:val="both"/>
        <w:rPr>
          <w:rFonts w:ascii="Arial" w:hAnsi="Arial" w:cs="Arial"/>
          <w:sz w:val="20"/>
          <w:szCs w:val="20"/>
        </w:rPr>
      </w:pPr>
      <w:r w:rsidRPr="00496ACB">
        <w:rPr>
          <w:rFonts w:ascii="Arial" w:hAnsi="Arial" w:cs="Arial"/>
          <w:sz w:val="20"/>
          <w:szCs w:val="20"/>
        </w:rPr>
        <w:t xml:space="preserve">На территории Ленинградской области расположен высокоразвитый агропромышленный комплекс, доля производства АПК области составляет 41,4% от общего объема сельхозпроизводства всех регионов Северо-Западного федерального округа или 7,7% от ВРП региона. Основные специализации: молочно-мясное животноводство, птицеводство, картофелеводство и овощеводство. На территории региона осуществляют </w:t>
      </w:r>
      <w:r w:rsidRPr="00496ACB">
        <w:rPr>
          <w:rFonts w:ascii="Arial" w:hAnsi="Arial" w:cs="Arial"/>
          <w:sz w:val="20"/>
          <w:szCs w:val="20"/>
        </w:rPr>
        <w:lastRenderedPageBreak/>
        <w:t>деятельность 528 крупных и средних предприятий, пять сельскохозяйственных кооперативов, более 1000 фермерских хозяйств и около 104 тыс. личных подсобных хозяйств.</w:t>
      </w:r>
    </w:p>
    <w:p w:rsidR="00496ACB" w:rsidRDefault="00496ACB" w:rsidP="00C91A66">
      <w:pPr>
        <w:ind w:left="-284" w:firstLine="426"/>
        <w:jc w:val="both"/>
        <w:rPr>
          <w:rFonts w:ascii="Arial" w:hAnsi="Arial" w:cs="Arial"/>
          <w:sz w:val="20"/>
          <w:szCs w:val="20"/>
        </w:rPr>
      </w:pPr>
      <w:r w:rsidRPr="00496ACB">
        <w:rPr>
          <w:rFonts w:ascii="Arial" w:hAnsi="Arial" w:cs="Arial"/>
          <w:sz w:val="20"/>
          <w:szCs w:val="20"/>
        </w:rPr>
        <w:t>Ленинградская область является крупнейшим транспортно-логистическим узлом Северо-Западного федерального округа. Доля отрасли транспорта и связи в структуре ВРП составляет 15,9%. На территории региона располагаются крупнейшие российские порты Балтии (Приморск, Усть-Луга, Высоцк, Выборг).</w:t>
      </w:r>
    </w:p>
    <w:p w:rsidR="00496ACB" w:rsidRDefault="00496ACB" w:rsidP="00C91A66">
      <w:pPr>
        <w:ind w:left="-284" w:firstLine="426"/>
        <w:jc w:val="both"/>
        <w:rPr>
          <w:rFonts w:ascii="Arial" w:hAnsi="Arial" w:cs="Arial"/>
          <w:sz w:val="20"/>
          <w:szCs w:val="20"/>
        </w:rPr>
      </w:pPr>
      <w:r w:rsidRPr="00496ACB">
        <w:rPr>
          <w:rFonts w:ascii="Arial" w:hAnsi="Arial" w:cs="Arial"/>
          <w:sz w:val="20"/>
          <w:szCs w:val="20"/>
        </w:rPr>
        <w:t>В настоящее время мировая экономика столкнулась с рядом негативных тенденций</w:t>
      </w:r>
      <w:r w:rsidR="001C2FCA">
        <w:rPr>
          <w:rFonts w:ascii="Arial" w:hAnsi="Arial" w:cs="Arial"/>
          <w:sz w:val="20"/>
          <w:szCs w:val="20"/>
        </w:rPr>
        <w:t>:</w:t>
      </w:r>
    </w:p>
    <w:p w:rsidR="00496ACB" w:rsidRPr="001C2FCA" w:rsidRDefault="00496ACB" w:rsidP="00C91A66">
      <w:pPr>
        <w:pStyle w:val="a6"/>
        <w:numPr>
          <w:ilvl w:val="0"/>
          <w:numId w:val="1"/>
        </w:numPr>
        <w:ind w:left="-284" w:firstLine="710"/>
        <w:jc w:val="both"/>
        <w:rPr>
          <w:rFonts w:ascii="Arial" w:hAnsi="Arial" w:cs="Arial"/>
          <w:sz w:val="20"/>
          <w:szCs w:val="20"/>
        </w:rPr>
      </w:pPr>
      <w:r w:rsidRPr="001C2FCA">
        <w:rPr>
          <w:rFonts w:ascii="Arial" w:hAnsi="Arial" w:cs="Arial"/>
          <w:sz w:val="20"/>
          <w:szCs w:val="20"/>
        </w:rPr>
        <w:t>нестабильная внешнеэкономическая ситуация, отрицательно влияющая на инвестиционный имидж Российской Федерации и намерения инвесторов производить вложения в экономику России;</w:t>
      </w:r>
    </w:p>
    <w:p w:rsidR="00496ACB" w:rsidRPr="001C2FCA" w:rsidRDefault="00496ACB" w:rsidP="00C91A66">
      <w:pPr>
        <w:pStyle w:val="a6"/>
        <w:numPr>
          <w:ilvl w:val="0"/>
          <w:numId w:val="1"/>
        </w:numPr>
        <w:ind w:left="-284" w:firstLine="710"/>
        <w:jc w:val="both"/>
        <w:rPr>
          <w:rFonts w:ascii="Arial" w:hAnsi="Arial" w:cs="Arial"/>
          <w:sz w:val="20"/>
          <w:szCs w:val="20"/>
        </w:rPr>
      </w:pPr>
      <w:r w:rsidRPr="001C2FCA">
        <w:rPr>
          <w:rFonts w:ascii="Arial" w:hAnsi="Arial" w:cs="Arial"/>
          <w:sz w:val="20"/>
          <w:szCs w:val="20"/>
        </w:rPr>
        <w:t>снижение платежеспособности населения, приводящее к снижению привлекательности внутренних рынков: реальные доходы населения в 2012 году показывали рост в 4,6%, в 2015 году в России их падение оценивается в 4,0%;</w:t>
      </w:r>
    </w:p>
    <w:p w:rsidR="00496ACB" w:rsidRPr="001C2FCA" w:rsidRDefault="00496ACB" w:rsidP="00C91A66">
      <w:pPr>
        <w:pStyle w:val="a6"/>
        <w:numPr>
          <w:ilvl w:val="0"/>
          <w:numId w:val="1"/>
        </w:numPr>
        <w:ind w:left="-284" w:firstLine="710"/>
        <w:jc w:val="both"/>
        <w:rPr>
          <w:rFonts w:ascii="Arial" w:hAnsi="Arial" w:cs="Arial"/>
          <w:sz w:val="20"/>
          <w:szCs w:val="20"/>
        </w:rPr>
      </w:pPr>
      <w:r w:rsidRPr="001C2FCA">
        <w:rPr>
          <w:rFonts w:ascii="Arial" w:hAnsi="Arial" w:cs="Arial"/>
          <w:sz w:val="20"/>
          <w:szCs w:val="20"/>
        </w:rPr>
        <w:t>сжатие финансовых рынков и снижение доступности финансовых ресурсов;</w:t>
      </w:r>
    </w:p>
    <w:p w:rsidR="00496ACB" w:rsidRPr="001C2FCA" w:rsidRDefault="00496ACB" w:rsidP="00C91A66">
      <w:pPr>
        <w:pStyle w:val="a6"/>
        <w:numPr>
          <w:ilvl w:val="0"/>
          <w:numId w:val="1"/>
        </w:numPr>
        <w:ind w:left="-284" w:firstLine="710"/>
        <w:jc w:val="both"/>
        <w:rPr>
          <w:rFonts w:ascii="Arial" w:hAnsi="Arial" w:cs="Arial"/>
          <w:sz w:val="20"/>
          <w:szCs w:val="20"/>
        </w:rPr>
      </w:pPr>
      <w:r w:rsidRPr="001C2FCA">
        <w:rPr>
          <w:rFonts w:ascii="Arial" w:hAnsi="Arial" w:cs="Arial"/>
          <w:sz w:val="20"/>
          <w:szCs w:val="20"/>
        </w:rPr>
        <w:t xml:space="preserve">рост социальной нагрузки на бюджет, </w:t>
      </w:r>
      <w:proofErr w:type="spellStart"/>
      <w:r w:rsidRPr="001C2FCA">
        <w:rPr>
          <w:rFonts w:ascii="Arial" w:hAnsi="Arial" w:cs="Arial"/>
          <w:sz w:val="20"/>
          <w:szCs w:val="20"/>
        </w:rPr>
        <w:t>секвестирование</w:t>
      </w:r>
      <w:proofErr w:type="spellEnd"/>
      <w:r w:rsidRPr="001C2FCA">
        <w:rPr>
          <w:rFonts w:ascii="Arial" w:hAnsi="Arial" w:cs="Arial"/>
          <w:sz w:val="20"/>
          <w:szCs w:val="20"/>
        </w:rPr>
        <w:t xml:space="preserve"> расходов федерального бюджета (в 2015 году - на 10%);</w:t>
      </w:r>
    </w:p>
    <w:p w:rsidR="00496ACB" w:rsidRPr="001C2FCA" w:rsidRDefault="00496ACB" w:rsidP="00C91A66">
      <w:pPr>
        <w:pStyle w:val="a6"/>
        <w:numPr>
          <w:ilvl w:val="0"/>
          <w:numId w:val="1"/>
        </w:numPr>
        <w:ind w:left="-284" w:firstLine="710"/>
        <w:jc w:val="both"/>
        <w:rPr>
          <w:rFonts w:ascii="Arial" w:hAnsi="Arial" w:cs="Arial"/>
          <w:sz w:val="20"/>
          <w:szCs w:val="20"/>
        </w:rPr>
      </w:pPr>
      <w:proofErr w:type="gramStart"/>
      <w:r w:rsidRPr="001C2FCA">
        <w:rPr>
          <w:rFonts w:ascii="Arial" w:hAnsi="Arial" w:cs="Arial"/>
          <w:sz w:val="20"/>
          <w:szCs w:val="20"/>
        </w:rPr>
        <w:t>общая нестабильность экономики: в 2012 году рост ВВП составил 3,4%, в 2015 году - падение ВВП на 3,7%; инфляция ускорилась в два раза: с 6,6% в 2012 году до 12,9% в 2015 году.</w:t>
      </w:r>
      <w:proofErr w:type="gramEnd"/>
    </w:p>
    <w:p w:rsidR="00496ACB" w:rsidRPr="00496ACB" w:rsidRDefault="00496ACB" w:rsidP="00C91A66">
      <w:pPr>
        <w:ind w:left="-284" w:firstLine="426"/>
        <w:jc w:val="both"/>
        <w:rPr>
          <w:rFonts w:ascii="Arial" w:hAnsi="Arial" w:cs="Arial"/>
          <w:sz w:val="20"/>
          <w:szCs w:val="20"/>
        </w:rPr>
      </w:pPr>
      <w:r w:rsidRPr="00496ACB">
        <w:rPr>
          <w:rFonts w:ascii="Arial" w:hAnsi="Arial" w:cs="Arial"/>
          <w:sz w:val="20"/>
          <w:szCs w:val="20"/>
        </w:rPr>
        <w:t>Итог - замедление инвестиционной активности предприятий, увеличение срока реализации отдельных проектов.</w:t>
      </w:r>
      <w:r w:rsidR="001C2FCA">
        <w:rPr>
          <w:rFonts w:ascii="Arial" w:hAnsi="Arial" w:cs="Arial"/>
          <w:sz w:val="20"/>
          <w:szCs w:val="20"/>
        </w:rPr>
        <w:t xml:space="preserve"> </w:t>
      </w:r>
      <w:r w:rsidRPr="00496ACB">
        <w:rPr>
          <w:rFonts w:ascii="Arial" w:hAnsi="Arial" w:cs="Arial"/>
          <w:sz w:val="20"/>
          <w:szCs w:val="20"/>
        </w:rPr>
        <w:t>При этом существующая экономическая ситуация дает инвесторам ряд преимуще</w:t>
      </w:r>
      <w:proofErr w:type="gramStart"/>
      <w:r w:rsidRPr="00496ACB">
        <w:rPr>
          <w:rFonts w:ascii="Arial" w:hAnsi="Arial" w:cs="Arial"/>
          <w:sz w:val="20"/>
          <w:szCs w:val="20"/>
        </w:rPr>
        <w:t>ств вл</w:t>
      </w:r>
      <w:proofErr w:type="gramEnd"/>
      <w:r w:rsidRPr="00496ACB">
        <w:rPr>
          <w:rFonts w:ascii="Arial" w:hAnsi="Arial" w:cs="Arial"/>
          <w:sz w:val="20"/>
          <w:szCs w:val="20"/>
        </w:rPr>
        <w:t xml:space="preserve">ожения средств в Россию. В условиях политики </w:t>
      </w:r>
      <w:proofErr w:type="gramStart"/>
      <w:r w:rsidRPr="00496ACB">
        <w:rPr>
          <w:rFonts w:ascii="Arial" w:hAnsi="Arial" w:cs="Arial"/>
          <w:sz w:val="20"/>
          <w:szCs w:val="20"/>
        </w:rPr>
        <w:t>активного</w:t>
      </w:r>
      <w:proofErr w:type="gramEnd"/>
      <w:r w:rsidRPr="00496ACB">
        <w:rPr>
          <w:rFonts w:ascii="Arial" w:hAnsi="Arial" w:cs="Arial"/>
          <w:sz w:val="20"/>
          <w:szCs w:val="20"/>
        </w:rPr>
        <w:t xml:space="preserve"> импортозамещения в ряде отраслей появились свободные рыночные ниши, а для инвесторов вложение в производство импортозамещающей продукции означает стабильный внутренний спрос на нее.</w:t>
      </w:r>
    </w:p>
    <w:p w:rsidR="00496ACB" w:rsidRPr="00496ACB" w:rsidRDefault="00496ACB" w:rsidP="00C91A66">
      <w:pPr>
        <w:ind w:left="-284" w:firstLine="426"/>
        <w:jc w:val="both"/>
        <w:rPr>
          <w:rFonts w:ascii="Arial" w:hAnsi="Arial" w:cs="Arial"/>
          <w:sz w:val="20"/>
          <w:szCs w:val="20"/>
        </w:rPr>
      </w:pPr>
      <w:r w:rsidRPr="00496ACB">
        <w:rPr>
          <w:rFonts w:ascii="Arial" w:hAnsi="Arial" w:cs="Arial"/>
          <w:sz w:val="20"/>
          <w:szCs w:val="20"/>
        </w:rPr>
        <w:t xml:space="preserve">К внутренним рискам необходимо отнести </w:t>
      </w:r>
      <w:proofErr w:type="gramStart"/>
      <w:r w:rsidRPr="00496ACB">
        <w:rPr>
          <w:rFonts w:ascii="Arial" w:hAnsi="Arial" w:cs="Arial"/>
          <w:sz w:val="20"/>
          <w:szCs w:val="20"/>
        </w:rPr>
        <w:t>следующие</w:t>
      </w:r>
      <w:proofErr w:type="gramEnd"/>
      <w:r w:rsidRPr="00496ACB">
        <w:rPr>
          <w:rFonts w:ascii="Arial" w:hAnsi="Arial" w:cs="Arial"/>
          <w:sz w:val="20"/>
          <w:szCs w:val="20"/>
        </w:rPr>
        <w:t>:</w:t>
      </w:r>
    </w:p>
    <w:p w:rsidR="00496ACB" w:rsidRPr="00496ACB" w:rsidRDefault="00496ACB" w:rsidP="00C91A66">
      <w:pPr>
        <w:pStyle w:val="a6"/>
        <w:numPr>
          <w:ilvl w:val="0"/>
          <w:numId w:val="1"/>
        </w:numPr>
        <w:ind w:left="-284" w:firstLine="710"/>
        <w:jc w:val="both"/>
        <w:rPr>
          <w:rFonts w:ascii="Arial" w:hAnsi="Arial" w:cs="Arial"/>
          <w:sz w:val="20"/>
          <w:szCs w:val="20"/>
        </w:rPr>
      </w:pPr>
      <w:r w:rsidRPr="00496ACB">
        <w:rPr>
          <w:rFonts w:ascii="Arial" w:hAnsi="Arial" w:cs="Arial"/>
          <w:sz w:val="20"/>
          <w:szCs w:val="20"/>
        </w:rPr>
        <w:t>усиление нестабильности приведет к свертыванию бюджетных расходов региона на развитие (инновационное, промышленное и других сфер, которые впоследствии могут сформировать прибавочную стоимость и создать основу для роста) и параллельному росту социальных расходов. Таким образом, государственная инфраструктура может попасть в ситуацию роста расходов бюджетов при уменьшении доходной базы, что затруднит проведение мероприятий по выводу экономики на докризисный уровень;</w:t>
      </w:r>
    </w:p>
    <w:p w:rsidR="00496ACB" w:rsidRPr="00496ACB" w:rsidRDefault="00496ACB" w:rsidP="00C91A66">
      <w:pPr>
        <w:pStyle w:val="a6"/>
        <w:numPr>
          <w:ilvl w:val="0"/>
          <w:numId w:val="1"/>
        </w:numPr>
        <w:ind w:left="-284" w:firstLine="710"/>
        <w:jc w:val="both"/>
        <w:rPr>
          <w:rFonts w:ascii="Arial" w:hAnsi="Arial" w:cs="Arial"/>
          <w:sz w:val="20"/>
          <w:szCs w:val="20"/>
        </w:rPr>
      </w:pPr>
      <w:r w:rsidRPr="00496ACB">
        <w:rPr>
          <w:rFonts w:ascii="Arial" w:hAnsi="Arial" w:cs="Arial"/>
          <w:sz w:val="20"/>
          <w:szCs w:val="20"/>
        </w:rPr>
        <w:t>большая часть доходов бюджетов всех уровней формируется за счет крупных инвестиционных проектов в сфере нефтегазохимической промышленности, транспорта и энергетики. Следующий по значимости - сектор потребления, привлекающий большую часть иностранных инвестиций: рынок жилья, торговля, автомобилестроение, пищевое производство, рынок потребительских товаров. На третьем месте - обрабатывающие производства (ОПК, тяжелое машиностроение, металлургия). Снижение количества реализуемых крупных инвестиционных проектов приведет к росту зависимости регионального бюджета от кредитов и федеральных дотаций;</w:t>
      </w:r>
    </w:p>
    <w:p w:rsidR="00496ACB" w:rsidRPr="00496ACB" w:rsidRDefault="00496ACB" w:rsidP="00C91A66">
      <w:pPr>
        <w:pStyle w:val="a6"/>
        <w:numPr>
          <w:ilvl w:val="0"/>
          <w:numId w:val="1"/>
        </w:numPr>
        <w:ind w:left="-284" w:firstLine="710"/>
        <w:jc w:val="both"/>
        <w:rPr>
          <w:rFonts w:ascii="Arial" w:hAnsi="Arial" w:cs="Arial"/>
          <w:sz w:val="20"/>
          <w:szCs w:val="20"/>
        </w:rPr>
      </w:pPr>
      <w:r w:rsidRPr="00496ACB">
        <w:rPr>
          <w:rFonts w:ascii="Arial" w:hAnsi="Arial" w:cs="Arial"/>
          <w:sz w:val="20"/>
          <w:szCs w:val="20"/>
        </w:rPr>
        <w:t>экономическая база области сосредоточена преимущественно в секторах, не являющихся инновационными. Большая часть промышленных предприятий Ленинградской области ведет деятельность в секторах традиционной промышленности. В условиях роста экономических проблем увеличение числа высокотехнологичных предприятий и производство инновационной продукции позволит создать основу для долгосрочной стабилизации экономики;</w:t>
      </w:r>
    </w:p>
    <w:p w:rsidR="00496ACB" w:rsidRPr="00496ACB" w:rsidRDefault="00496ACB" w:rsidP="00C91A66">
      <w:pPr>
        <w:pStyle w:val="a6"/>
        <w:numPr>
          <w:ilvl w:val="0"/>
          <w:numId w:val="1"/>
        </w:numPr>
        <w:ind w:left="-284" w:firstLine="710"/>
        <w:jc w:val="both"/>
        <w:rPr>
          <w:rFonts w:ascii="Arial" w:hAnsi="Arial" w:cs="Arial"/>
          <w:sz w:val="20"/>
          <w:szCs w:val="20"/>
        </w:rPr>
      </w:pPr>
      <w:r w:rsidRPr="00496ACB">
        <w:rPr>
          <w:rFonts w:ascii="Arial" w:hAnsi="Arial" w:cs="Arial"/>
          <w:sz w:val="20"/>
          <w:szCs w:val="20"/>
        </w:rPr>
        <w:t>регион испытывает дефицит в промышленных площадках, обеспеченных необходимой инфраструктурой для размещения новых производств. В настоящее время в Ленинградской области заявлено большое количество проектов, реализация которых будет еще больше способствовать увеличению данного дефицита;</w:t>
      </w:r>
    </w:p>
    <w:p w:rsidR="00496ACB" w:rsidRPr="00496ACB" w:rsidRDefault="00496ACB" w:rsidP="00C91A66">
      <w:pPr>
        <w:pStyle w:val="a6"/>
        <w:numPr>
          <w:ilvl w:val="0"/>
          <w:numId w:val="1"/>
        </w:numPr>
        <w:ind w:left="-284" w:firstLine="710"/>
        <w:jc w:val="both"/>
        <w:rPr>
          <w:rFonts w:ascii="Arial" w:hAnsi="Arial" w:cs="Arial"/>
          <w:sz w:val="20"/>
          <w:szCs w:val="20"/>
        </w:rPr>
      </w:pPr>
      <w:r w:rsidRPr="00496ACB">
        <w:rPr>
          <w:rFonts w:ascii="Arial" w:hAnsi="Arial" w:cs="Arial"/>
          <w:sz w:val="20"/>
          <w:szCs w:val="20"/>
        </w:rPr>
        <w:t>инфраструктурные ограничения развития Ленинградской области. Темпы жилищного строительства на территории области, особенно в районах, граничащих с Санкт-Петербургом, значительно превосходят темпы развития инфраструктуры. В целом отмечается рост износа основных фондов коммунальной инфраструктуры;</w:t>
      </w:r>
    </w:p>
    <w:p w:rsidR="00581DF7" w:rsidRDefault="00496ACB" w:rsidP="00C91A66">
      <w:pPr>
        <w:pStyle w:val="a6"/>
        <w:numPr>
          <w:ilvl w:val="0"/>
          <w:numId w:val="1"/>
        </w:numPr>
        <w:ind w:left="-284" w:firstLine="710"/>
        <w:jc w:val="both"/>
        <w:rPr>
          <w:rFonts w:ascii="Arial" w:hAnsi="Arial" w:cs="Arial"/>
          <w:sz w:val="20"/>
          <w:szCs w:val="20"/>
        </w:rPr>
      </w:pPr>
      <w:r w:rsidRPr="00496ACB">
        <w:rPr>
          <w:rFonts w:ascii="Arial" w:hAnsi="Arial" w:cs="Arial"/>
          <w:sz w:val="20"/>
          <w:szCs w:val="20"/>
        </w:rPr>
        <w:t>дисбаланс системы расселения, неравномерное развитие муниципальных образований. В муниципальных районах, где происходят убыль населения и рост бюджетного дефицита, существуют риски снижения экономической и социальной устойчивости, инвестиционной активности, показателей качества жизни населения. Естественная убыль населения восполняется за счет существенного притока мигрантов.</w:t>
      </w:r>
    </w:p>
    <w:p w:rsidR="00581DF7" w:rsidRPr="00581DF7" w:rsidRDefault="00581DF7" w:rsidP="00C91A66">
      <w:pPr>
        <w:ind w:left="-284" w:firstLine="426"/>
        <w:jc w:val="center"/>
        <w:outlineLvl w:val="0"/>
        <w:rPr>
          <w:rFonts w:ascii="Arial" w:hAnsi="Arial" w:cs="Arial"/>
          <w:sz w:val="20"/>
          <w:szCs w:val="20"/>
        </w:rPr>
      </w:pPr>
      <w:r w:rsidRPr="00581DF7">
        <w:rPr>
          <w:rFonts w:ascii="Arial" w:hAnsi="Arial" w:cs="Arial"/>
          <w:b/>
          <w:sz w:val="20"/>
          <w:szCs w:val="20"/>
        </w:rPr>
        <w:t>Рынок недвижимости Ленинградской области</w:t>
      </w:r>
    </w:p>
    <w:p w:rsidR="00581DF7" w:rsidRPr="00581DF7" w:rsidRDefault="00581DF7" w:rsidP="00C91A66">
      <w:pPr>
        <w:ind w:left="-284" w:firstLine="426"/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581DF7">
        <w:rPr>
          <w:rFonts w:ascii="Arial" w:hAnsi="Arial" w:cs="Arial"/>
          <w:i/>
          <w:sz w:val="20"/>
          <w:szCs w:val="20"/>
        </w:rPr>
        <w:t>Жилая недвижимость</w:t>
      </w:r>
    </w:p>
    <w:p w:rsidR="00581DF7" w:rsidRPr="00581DF7" w:rsidRDefault="00581DF7" w:rsidP="00C91A66">
      <w:pPr>
        <w:ind w:left="-284" w:firstLine="426"/>
        <w:jc w:val="both"/>
        <w:rPr>
          <w:rFonts w:ascii="Arial" w:hAnsi="Arial" w:cs="Arial"/>
          <w:sz w:val="20"/>
          <w:szCs w:val="20"/>
        </w:rPr>
      </w:pPr>
      <w:r w:rsidRPr="00581DF7">
        <w:rPr>
          <w:rFonts w:ascii="Arial" w:hAnsi="Arial" w:cs="Arial"/>
          <w:sz w:val="20"/>
          <w:szCs w:val="20"/>
        </w:rPr>
        <w:lastRenderedPageBreak/>
        <w:t xml:space="preserve">С января по декабрь 2016 года в эксплуатацию введено 2,171 </w:t>
      </w:r>
      <w:proofErr w:type="gramStart"/>
      <w:r w:rsidRPr="00581DF7">
        <w:rPr>
          <w:rFonts w:ascii="Arial" w:hAnsi="Arial" w:cs="Arial"/>
          <w:sz w:val="20"/>
          <w:szCs w:val="20"/>
        </w:rPr>
        <w:t>млн</w:t>
      </w:r>
      <w:proofErr w:type="gramEnd"/>
      <w:r w:rsidRPr="00581DF7">
        <w:rPr>
          <w:rFonts w:ascii="Arial" w:hAnsi="Arial" w:cs="Arial"/>
          <w:sz w:val="20"/>
          <w:szCs w:val="20"/>
        </w:rPr>
        <w:t xml:space="preserve"> м. </w:t>
      </w:r>
      <w:proofErr w:type="spellStart"/>
      <w:r w:rsidRPr="00581DF7">
        <w:rPr>
          <w:rFonts w:ascii="Arial" w:hAnsi="Arial" w:cs="Arial"/>
          <w:sz w:val="20"/>
          <w:szCs w:val="20"/>
        </w:rPr>
        <w:t>кв</w:t>
      </w:r>
      <w:proofErr w:type="spellEnd"/>
      <w:r w:rsidRPr="00581DF7">
        <w:rPr>
          <w:rFonts w:ascii="Arial" w:hAnsi="Arial" w:cs="Arial"/>
          <w:sz w:val="20"/>
          <w:szCs w:val="20"/>
        </w:rPr>
        <w:t xml:space="preserve"> жилой недвижимости, из которых 597 тыс. м. кв. — объекты индивидуального жилого строительства. Плановый показатель по вводу жилья, установленный министерством строительства РФ для Ленинградской области, составляет 1,8 млн кв. м</w:t>
      </w:r>
      <w:proofErr w:type="gramStart"/>
      <w:r w:rsidRPr="00581DF7">
        <w:rPr>
          <w:rFonts w:ascii="Arial" w:hAnsi="Arial" w:cs="Arial"/>
          <w:sz w:val="20"/>
          <w:szCs w:val="20"/>
        </w:rPr>
        <w:t>.П</w:t>
      </w:r>
      <w:proofErr w:type="gramEnd"/>
      <w:r w:rsidRPr="00581DF7">
        <w:rPr>
          <w:rFonts w:ascii="Arial" w:hAnsi="Arial" w:cs="Arial"/>
          <w:sz w:val="20"/>
          <w:szCs w:val="20"/>
        </w:rPr>
        <w:t>о отношению к 2015 году в прошлом году было введено на 7% меньше жилой недвижимости</w:t>
      </w:r>
      <w:r>
        <w:rPr>
          <w:rStyle w:val="a5"/>
          <w:rFonts w:ascii="Arial" w:hAnsi="Arial" w:cs="Arial"/>
          <w:sz w:val="20"/>
          <w:szCs w:val="20"/>
        </w:rPr>
        <w:footnoteReference w:id="3"/>
      </w:r>
      <w:r w:rsidRPr="00581DF7">
        <w:rPr>
          <w:rFonts w:ascii="Arial" w:hAnsi="Arial" w:cs="Arial"/>
          <w:sz w:val="20"/>
          <w:szCs w:val="20"/>
        </w:rPr>
        <w:t>.</w:t>
      </w:r>
    </w:p>
    <w:p w:rsidR="00581DF7" w:rsidRDefault="00581DF7" w:rsidP="00C91A66">
      <w:pPr>
        <w:spacing w:after="0" w:line="240" w:lineRule="auto"/>
        <w:ind w:left="-284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487118F9" wp14:editId="35D7F135">
            <wp:extent cx="6300470" cy="2983086"/>
            <wp:effectExtent l="19050" t="19050" r="24130" b="26814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9830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DF7" w:rsidRDefault="00581DF7" w:rsidP="00C91A66">
      <w:pPr>
        <w:spacing w:after="0" w:line="240" w:lineRule="auto"/>
        <w:ind w:left="-284" w:firstLine="426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Источник: </w:t>
      </w:r>
      <w:r w:rsidRPr="00581DF7">
        <w:rPr>
          <w:rFonts w:ascii="Arial" w:hAnsi="Arial" w:cs="Arial"/>
          <w:sz w:val="20"/>
          <w:szCs w:val="20"/>
        </w:rPr>
        <w:t>http://lenoblinvest.ru/region/investitsionnyj-klimat/dajdzhest-ser</w:t>
      </w:r>
    </w:p>
    <w:p w:rsidR="00581DF7" w:rsidRDefault="00581DF7" w:rsidP="00C91A66">
      <w:pPr>
        <w:spacing w:after="0" w:line="240" w:lineRule="auto"/>
        <w:ind w:left="-284" w:firstLine="426"/>
        <w:jc w:val="both"/>
        <w:rPr>
          <w:rFonts w:ascii="Arial" w:hAnsi="Arial" w:cs="Arial"/>
          <w:sz w:val="20"/>
          <w:szCs w:val="20"/>
        </w:rPr>
      </w:pPr>
    </w:p>
    <w:p w:rsidR="00581DF7" w:rsidRDefault="000570C3" w:rsidP="00C91A66">
      <w:pPr>
        <w:spacing w:after="0" w:line="240" w:lineRule="auto"/>
        <w:ind w:left="-284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представленного выше графика видно, что лидером по вводу в эксплуатацию жилой недвижимости является Всеволожский район, далее с большим отрывом идут Ломоносовский, Гатчинский, </w:t>
      </w:r>
      <w:proofErr w:type="spellStart"/>
      <w:r>
        <w:rPr>
          <w:rFonts w:ascii="Arial" w:hAnsi="Arial" w:cs="Arial"/>
          <w:sz w:val="20"/>
          <w:szCs w:val="20"/>
        </w:rPr>
        <w:t>Тосненский</w:t>
      </w:r>
      <w:proofErr w:type="spellEnd"/>
      <w:r>
        <w:rPr>
          <w:rFonts w:ascii="Arial" w:hAnsi="Arial" w:cs="Arial"/>
          <w:sz w:val="20"/>
          <w:szCs w:val="20"/>
        </w:rPr>
        <w:t>, Выборгский районы. Наименее активно (</w:t>
      </w:r>
      <w:r w:rsidRPr="000570C3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6</w:t>
      </w:r>
      <w:r w:rsidRPr="000570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тыс.кв</w:t>
      </w:r>
      <w:proofErr w:type="gramStart"/>
      <w:r>
        <w:rPr>
          <w:rFonts w:ascii="Arial" w:hAnsi="Arial" w:cs="Arial"/>
          <w:sz w:val="20"/>
          <w:szCs w:val="20"/>
        </w:rPr>
        <w:t>.м</w:t>
      </w:r>
      <w:proofErr w:type="gramEnd"/>
      <w:r>
        <w:rPr>
          <w:rFonts w:ascii="Arial" w:hAnsi="Arial" w:cs="Arial"/>
          <w:sz w:val="20"/>
          <w:szCs w:val="20"/>
        </w:rPr>
        <w:t xml:space="preserve">) жилое строительство развивалось в </w:t>
      </w:r>
      <w:proofErr w:type="spellStart"/>
      <w:r>
        <w:rPr>
          <w:rFonts w:ascii="Arial" w:hAnsi="Arial" w:cs="Arial"/>
          <w:sz w:val="20"/>
          <w:szCs w:val="20"/>
        </w:rPr>
        <w:t>Лодейнопольском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Сланцевском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Подпорожском</w:t>
      </w:r>
      <w:proofErr w:type="spellEnd"/>
      <w:r>
        <w:rPr>
          <w:rFonts w:ascii="Arial" w:hAnsi="Arial" w:cs="Arial"/>
          <w:sz w:val="20"/>
          <w:szCs w:val="20"/>
        </w:rPr>
        <w:t xml:space="preserve"> и Бокситогорском районах. </w:t>
      </w:r>
    </w:p>
    <w:p w:rsidR="00581DF7" w:rsidRDefault="000570C3" w:rsidP="00C91A66">
      <w:pPr>
        <w:spacing w:after="0" w:line="240" w:lineRule="auto"/>
        <w:ind w:left="-284"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Далее приведены </w:t>
      </w:r>
      <w:r w:rsidR="004B4D58">
        <w:rPr>
          <w:rFonts w:ascii="Arial" w:hAnsi="Arial" w:cs="Arial"/>
          <w:sz w:val="20"/>
          <w:szCs w:val="20"/>
        </w:rPr>
        <w:t>средний диапазон цен</w:t>
      </w:r>
      <w:r w:rsidRPr="000570C3">
        <w:rPr>
          <w:rFonts w:ascii="Arial" w:hAnsi="Arial" w:cs="Arial"/>
          <w:sz w:val="20"/>
          <w:szCs w:val="20"/>
        </w:rPr>
        <w:t xml:space="preserve"> квартир за 1 квадратный метр </w:t>
      </w:r>
      <w:r>
        <w:rPr>
          <w:rFonts w:ascii="Arial" w:hAnsi="Arial" w:cs="Arial"/>
          <w:sz w:val="20"/>
          <w:szCs w:val="20"/>
        </w:rPr>
        <w:t>в различных населенных пунктах Ленинградской области</w:t>
      </w:r>
      <w:r>
        <w:rPr>
          <w:rStyle w:val="a5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>.</w:t>
      </w:r>
      <w:proofErr w:type="gramEnd"/>
    </w:p>
    <w:tbl>
      <w:tblPr>
        <w:tblW w:w="4757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597"/>
        <w:gridCol w:w="1311"/>
        <w:gridCol w:w="1313"/>
        <w:gridCol w:w="1313"/>
        <w:gridCol w:w="1458"/>
      </w:tblGrid>
      <w:tr w:rsidR="00C91A66" w:rsidRPr="00AB2EC0" w:rsidTr="00886AB2">
        <w:trPr>
          <w:trHeight w:val="20"/>
          <w:tblHeader/>
          <w:jc w:val="center"/>
        </w:trPr>
        <w:tc>
          <w:tcPr>
            <w:tcW w:w="970" w:type="pct"/>
            <w:vMerge w:val="restar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310" w:type="pct"/>
            <w:vMerge w:val="restar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1323" w:type="pct"/>
            <w:gridSpan w:val="2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Новостройки</w:t>
            </w:r>
          </w:p>
        </w:tc>
        <w:tc>
          <w:tcPr>
            <w:tcW w:w="1397" w:type="pct"/>
            <w:gridSpan w:val="2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Вторичный рынок</w:t>
            </w:r>
          </w:p>
        </w:tc>
      </w:tr>
      <w:tr w:rsidR="00C91A66" w:rsidRPr="00AB2EC0" w:rsidTr="00886AB2">
        <w:trPr>
          <w:trHeight w:val="20"/>
          <w:tblHeader/>
          <w:jc w:val="center"/>
        </w:trPr>
        <w:tc>
          <w:tcPr>
            <w:tcW w:w="970" w:type="pct"/>
            <w:vMerge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pct"/>
            <w:vMerge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min</w:t>
            </w:r>
            <w:proofErr w:type="spellEnd"/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min</w:t>
            </w:r>
            <w:proofErr w:type="spellEnd"/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</w:p>
        </w:tc>
      </w:tr>
      <w:tr w:rsidR="00C91A66" w:rsidRPr="00AB2EC0" w:rsidTr="00886AB2">
        <w:trPr>
          <w:trHeight w:val="20"/>
          <w:jc w:val="center"/>
        </w:trPr>
        <w:tc>
          <w:tcPr>
            <w:tcW w:w="970" w:type="pct"/>
            <w:vMerge w:val="restar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Всеволожский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Всеволожск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59 696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67 592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62 451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70 979</w:t>
            </w:r>
          </w:p>
        </w:tc>
      </w:tr>
      <w:tr w:rsidR="00C91A66" w:rsidRPr="00AB2EC0" w:rsidTr="00886AB2">
        <w:trPr>
          <w:trHeight w:val="20"/>
          <w:jc w:val="center"/>
        </w:trPr>
        <w:tc>
          <w:tcPr>
            <w:tcW w:w="970" w:type="pct"/>
            <w:vMerge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Сертолово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60 360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64 180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60 405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73 656</w:t>
            </w:r>
          </w:p>
        </w:tc>
      </w:tr>
      <w:tr w:rsidR="00C91A66" w:rsidRPr="00AB2EC0" w:rsidTr="00886AB2">
        <w:trPr>
          <w:trHeight w:val="20"/>
          <w:jc w:val="center"/>
        </w:trPr>
        <w:tc>
          <w:tcPr>
            <w:tcW w:w="970" w:type="pct"/>
            <w:vMerge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Кудрово</w:t>
            </w:r>
            <w:proofErr w:type="spellEnd"/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70 917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78 534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80 315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93 660</w:t>
            </w:r>
          </w:p>
        </w:tc>
      </w:tr>
      <w:tr w:rsidR="00C91A66" w:rsidRPr="00AB2EC0" w:rsidTr="00886AB2">
        <w:trPr>
          <w:trHeight w:val="20"/>
          <w:jc w:val="center"/>
        </w:trPr>
        <w:tc>
          <w:tcPr>
            <w:tcW w:w="970" w:type="pct"/>
            <w:vMerge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Мурино</w:t>
            </w:r>
            <w:proofErr w:type="spellEnd"/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62 623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70 284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68 883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85 881</w:t>
            </w:r>
          </w:p>
        </w:tc>
      </w:tr>
      <w:tr w:rsidR="00C91A66" w:rsidRPr="00AB2EC0" w:rsidTr="00886AB2">
        <w:trPr>
          <w:trHeight w:val="20"/>
          <w:jc w:val="center"/>
        </w:trPr>
        <w:tc>
          <w:tcPr>
            <w:tcW w:w="970" w:type="pct"/>
            <w:vMerge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Новое </w:t>
            </w:r>
            <w:proofErr w:type="spellStart"/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Девяткино</w:t>
            </w:r>
            <w:proofErr w:type="spellEnd"/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41 134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63 483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66 207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81 354</w:t>
            </w:r>
          </w:p>
        </w:tc>
      </w:tr>
      <w:tr w:rsidR="00C91A66" w:rsidRPr="00AB2EC0" w:rsidTr="00886AB2">
        <w:trPr>
          <w:trHeight w:val="20"/>
          <w:jc w:val="center"/>
        </w:trPr>
        <w:tc>
          <w:tcPr>
            <w:tcW w:w="970" w:type="pct"/>
            <w:vMerge w:val="restar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Ломоносовкий</w:t>
            </w:r>
            <w:proofErr w:type="spellEnd"/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Ломоносов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63 985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69 990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64 000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77 000</w:t>
            </w:r>
          </w:p>
        </w:tc>
      </w:tr>
      <w:tr w:rsidR="00C91A66" w:rsidRPr="00AB2EC0" w:rsidTr="00886AB2">
        <w:trPr>
          <w:trHeight w:val="20"/>
          <w:jc w:val="center"/>
        </w:trPr>
        <w:tc>
          <w:tcPr>
            <w:tcW w:w="970" w:type="pct"/>
            <w:vMerge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Аннино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67 942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71 025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59 000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71 000</w:t>
            </w:r>
          </w:p>
        </w:tc>
      </w:tr>
      <w:tr w:rsidR="00C91A66" w:rsidRPr="00AB2EC0" w:rsidTr="00886AB2">
        <w:trPr>
          <w:trHeight w:val="20"/>
          <w:jc w:val="center"/>
        </w:trPr>
        <w:tc>
          <w:tcPr>
            <w:tcW w:w="970" w:type="pct"/>
            <w:vMerge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Петергоф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54 000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74 500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70 000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84 000</w:t>
            </w:r>
          </w:p>
        </w:tc>
      </w:tr>
      <w:tr w:rsidR="00C91A66" w:rsidRPr="00AB2EC0" w:rsidTr="00886AB2">
        <w:trPr>
          <w:trHeight w:val="20"/>
          <w:jc w:val="center"/>
        </w:trPr>
        <w:tc>
          <w:tcPr>
            <w:tcW w:w="970" w:type="pct"/>
            <w:vMerge w:val="restar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Гатчинский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Гатчина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59 034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71 625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61 767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66 996</w:t>
            </w:r>
          </w:p>
        </w:tc>
      </w:tr>
      <w:tr w:rsidR="00C91A66" w:rsidRPr="00AB2EC0" w:rsidTr="00886AB2">
        <w:trPr>
          <w:trHeight w:val="20"/>
          <w:jc w:val="center"/>
        </w:trPr>
        <w:tc>
          <w:tcPr>
            <w:tcW w:w="970" w:type="pct"/>
            <w:vMerge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Коммунар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53 700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57 584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51 755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61 679</w:t>
            </w:r>
          </w:p>
        </w:tc>
      </w:tr>
      <w:tr w:rsidR="00C91A66" w:rsidRPr="00AB2EC0" w:rsidTr="00886AB2">
        <w:trPr>
          <w:trHeight w:val="20"/>
          <w:jc w:val="center"/>
        </w:trPr>
        <w:tc>
          <w:tcPr>
            <w:tcW w:w="970" w:type="pct"/>
            <w:vMerge w:val="restar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Тосно</w:t>
            </w:r>
          </w:p>
        </w:tc>
        <w:tc>
          <w:tcPr>
            <w:tcW w:w="1323" w:type="pct"/>
            <w:gridSpan w:val="2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45 000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46 973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60 795</w:t>
            </w:r>
          </w:p>
        </w:tc>
      </w:tr>
      <w:tr w:rsidR="00C91A66" w:rsidRPr="00AB2EC0" w:rsidTr="00886AB2">
        <w:trPr>
          <w:trHeight w:val="20"/>
          <w:jc w:val="center"/>
        </w:trPr>
        <w:tc>
          <w:tcPr>
            <w:tcW w:w="970" w:type="pct"/>
            <w:vMerge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Никольское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42 613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61 749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51 469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58 954</w:t>
            </w:r>
          </w:p>
        </w:tc>
      </w:tr>
      <w:tr w:rsidR="00C91A66" w:rsidRPr="00AB2EC0" w:rsidTr="00886AB2">
        <w:trPr>
          <w:trHeight w:val="20"/>
          <w:jc w:val="center"/>
        </w:trPr>
        <w:tc>
          <w:tcPr>
            <w:tcW w:w="970" w:type="pct"/>
            <w:vMerge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Любань</w:t>
            </w:r>
          </w:p>
        </w:tc>
        <w:tc>
          <w:tcPr>
            <w:tcW w:w="1323" w:type="pct"/>
            <w:gridSpan w:val="2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34 469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39 427</w:t>
            </w:r>
          </w:p>
        </w:tc>
      </w:tr>
      <w:tr w:rsidR="00C91A66" w:rsidRPr="00AB2EC0" w:rsidTr="00886AB2">
        <w:trPr>
          <w:trHeight w:val="20"/>
          <w:jc w:val="center"/>
        </w:trPr>
        <w:tc>
          <w:tcPr>
            <w:tcW w:w="970" w:type="pct"/>
            <w:vMerge w:val="restar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Выборг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40 919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61 100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51 734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58 330</w:t>
            </w:r>
          </w:p>
        </w:tc>
      </w:tr>
      <w:tr w:rsidR="00C91A66" w:rsidRPr="00AB2EC0" w:rsidTr="00886AB2">
        <w:trPr>
          <w:trHeight w:val="20"/>
          <w:jc w:val="center"/>
        </w:trPr>
        <w:tc>
          <w:tcPr>
            <w:tcW w:w="970" w:type="pct"/>
            <w:vMerge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Каменногорск</w:t>
            </w:r>
          </w:p>
        </w:tc>
        <w:tc>
          <w:tcPr>
            <w:tcW w:w="1323" w:type="pct"/>
            <w:gridSpan w:val="2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42 000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27 184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30 295</w:t>
            </w:r>
          </w:p>
        </w:tc>
      </w:tr>
      <w:tr w:rsidR="00C91A66" w:rsidRPr="00AB2EC0" w:rsidTr="00886AB2">
        <w:trPr>
          <w:trHeight w:val="20"/>
          <w:jc w:val="center"/>
        </w:trPr>
        <w:tc>
          <w:tcPr>
            <w:tcW w:w="970" w:type="pct"/>
            <w:vMerge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Приморск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39 497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40 997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37 127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44 829</w:t>
            </w:r>
          </w:p>
        </w:tc>
      </w:tr>
      <w:tr w:rsidR="00C91A66" w:rsidRPr="00AB2EC0" w:rsidTr="00886AB2">
        <w:trPr>
          <w:trHeight w:val="20"/>
          <w:jc w:val="center"/>
        </w:trPr>
        <w:tc>
          <w:tcPr>
            <w:tcW w:w="970" w:type="pct"/>
            <w:vMerge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Рощино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47 615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73 077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48 133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65 360</w:t>
            </w:r>
          </w:p>
        </w:tc>
      </w:tr>
      <w:tr w:rsidR="00C91A66" w:rsidRPr="00AB2EC0" w:rsidTr="00886AB2">
        <w:trPr>
          <w:trHeight w:val="20"/>
          <w:jc w:val="center"/>
        </w:trPr>
        <w:tc>
          <w:tcPr>
            <w:tcW w:w="970" w:type="pct"/>
            <w:vMerge w:val="restar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Кировск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48 500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58 752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49 742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65 125</w:t>
            </w:r>
          </w:p>
        </w:tc>
      </w:tr>
      <w:tr w:rsidR="00C91A66" w:rsidRPr="00AB2EC0" w:rsidTr="00886AB2">
        <w:trPr>
          <w:trHeight w:val="20"/>
          <w:jc w:val="center"/>
        </w:trPr>
        <w:tc>
          <w:tcPr>
            <w:tcW w:w="970" w:type="pct"/>
            <w:vMerge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Отрадное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48 500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53 988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51 762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61 173</w:t>
            </w:r>
          </w:p>
        </w:tc>
      </w:tr>
      <w:tr w:rsidR="00C91A66" w:rsidRPr="00AB2EC0" w:rsidTr="00886AB2">
        <w:trPr>
          <w:trHeight w:val="20"/>
          <w:jc w:val="center"/>
        </w:trPr>
        <w:tc>
          <w:tcPr>
            <w:tcW w:w="970" w:type="pct"/>
            <w:vMerge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Шлиссельбург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45 502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60 400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49 638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61 595</w:t>
            </w:r>
          </w:p>
        </w:tc>
      </w:tr>
      <w:tr w:rsidR="00C91A66" w:rsidRPr="00AB2EC0" w:rsidTr="00886AB2">
        <w:trPr>
          <w:trHeight w:val="20"/>
          <w:jc w:val="center"/>
        </w:trPr>
        <w:tc>
          <w:tcPr>
            <w:tcW w:w="97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Приозерский</w:t>
            </w:r>
            <w:proofErr w:type="spellEnd"/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Приозерск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43 242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46 529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38 703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46 371</w:t>
            </w:r>
          </w:p>
        </w:tc>
      </w:tr>
      <w:tr w:rsidR="00C91A66" w:rsidRPr="00AB2EC0" w:rsidTr="00886AB2">
        <w:trPr>
          <w:trHeight w:val="20"/>
          <w:jc w:val="center"/>
        </w:trPr>
        <w:tc>
          <w:tcPr>
            <w:tcW w:w="97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Киришский</w:t>
            </w:r>
            <w:proofErr w:type="spellEnd"/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Кириши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45 000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51 111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38 694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43 501</w:t>
            </w:r>
          </w:p>
        </w:tc>
      </w:tr>
      <w:tr w:rsidR="00C91A66" w:rsidRPr="00AB2EC0" w:rsidTr="00886AB2">
        <w:trPr>
          <w:trHeight w:val="20"/>
          <w:jc w:val="center"/>
        </w:trPr>
        <w:tc>
          <w:tcPr>
            <w:tcW w:w="97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Кингисеппский</w:t>
            </w:r>
            <w:proofErr w:type="spellEnd"/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Кингисепп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44 514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57 351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41 424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46 827</w:t>
            </w:r>
          </w:p>
        </w:tc>
      </w:tr>
      <w:tr w:rsidR="00C91A66" w:rsidRPr="00AB2EC0" w:rsidTr="00886AB2">
        <w:trPr>
          <w:trHeight w:val="20"/>
          <w:jc w:val="center"/>
        </w:trPr>
        <w:tc>
          <w:tcPr>
            <w:tcW w:w="97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Волосовский</w:t>
            </w:r>
            <w:proofErr w:type="spellEnd"/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Волосово</w:t>
            </w:r>
          </w:p>
        </w:tc>
        <w:tc>
          <w:tcPr>
            <w:tcW w:w="1323" w:type="pct"/>
            <w:gridSpan w:val="2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19 100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34 276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41 954</w:t>
            </w:r>
          </w:p>
        </w:tc>
      </w:tr>
      <w:tr w:rsidR="00C91A66" w:rsidRPr="00AB2EC0" w:rsidTr="00886AB2">
        <w:trPr>
          <w:trHeight w:val="20"/>
          <w:jc w:val="center"/>
        </w:trPr>
        <w:tc>
          <w:tcPr>
            <w:tcW w:w="97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Лужский</w:t>
            </w:r>
            <w:proofErr w:type="spellEnd"/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Луга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45 327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50 359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35 746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41 897</w:t>
            </w:r>
          </w:p>
        </w:tc>
      </w:tr>
      <w:tr w:rsidR="00C91A66" w:rsidRPr="00AB2EC0" w:rsidTr="00886AB2">
        <w:trPr>
          <w:trHeight w:val="20"/>
          <w:jc w:val="center"/>
        </w:trPr>
        <w:tc>
          <w:tcPr>
            <w:tcW w:w="97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Волховский</w:t>
            </w:r>
            <w:proofErr w:type="spellEnd"/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Волхово</w:t>
            </w:r>
            <w:proofErr w:type="spellEnd"/>
          </w:p>
        </w:tc>
        <w:tc>
          <w:tcPr>
            <w:tcW w:w="1323" w:type="pct"/>
            <w:gridSpan w:val="2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34 820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38 302</w:t>
            </w:r>
          </w:p>
        </w:tc>
      </w:tr>
      <w:tr w:rsidR="00C91A66" w:rsidRPr="00AB2EC0" w:rsidTr="00886AB2">
        <w:trPr>
          <w:trHeight w:val="20"/>
          <w:jc w:val="center"/>
        </w:trPr>
        <w:tc>
          <w:tcPr>
            <w:tcW w:w="97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Сосновоборский</w:t>
            </w:r>
            <w:proofErr w:type="spellEnd"/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Сосновый Бор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55 352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64 154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68 419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77 799</w:t>
            </w:r>
          </w:p>
        </w:tc>
      </w:tr>
      <w:tr w:rsidR="00C91A66" w:rsidRPr="00AB2EC0" w:rsidTr="00886AB2">
        <w:trPr>
          <w:trHeight w:val="20"/>
          <w:jc w:val="center"/>
        </w:trPr>
        <w:tc>
          <w:tcPr>
            <w:tcW w:w="97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Тихвинский</w:t>
            </w:r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Тихвин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42 353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46 774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33 010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38 084</w:t>
            </w:r>
          </w:p>
        </w:tc>
      </w:tr>
      <w:tr w:rsidR="00C91A66" w:rsidRPr="00AB2EC0" w:rsidTr="00886AB2">
        <w:trPr>
          <w:trHeight w:val="20"/>
          <w:jc w:val="center"/>
        </w:trPr>
        <w:tc>
          <w:tcPr>
            <w:tcW w:w="97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Лодейнопольский</w:t>
            </w:r>
            <w:proofErr w:type="spellEnd"/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Лодейное Поле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36 715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30 687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34 009</w:t>
            </w:r>
          </w:p>
        </w:tc>
      </w:tr>
      <w:tr w:rsidR="00C91A66" w:rsidRPr="00AB2EC0" w:rsidTr="00886AB2">
        <w:trPr>
          <w:trHeight w:val="20"/>
          <w:jc w:val="center"/>
        </w:trPr>
        <w:tc>
          <w:tcPr>
            <w:tcW w:w="97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Сланцевский</w:t>
            </w:r>
            <w:proofErr w:type="spellEnd"/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Сланцы</w:t>
            </w:r>
          </w:p>
        </w:tc>
        <w:tc>
          <w:tcPr>
            <w:tcW w:w="1323" w:type="pct"/>
            <w:gridSpan w:val="2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17 033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20 625</w:t>
            </w:r>
          </w:p>
        </w:tc>
      </w:tr>
      <w:tr w:rsidR="00C91A66" w:rsidRPr="00AB2EC0" w:rsidTr="00886AB2">
        <w:trPr>
          <w:trHeight w:val="20"/>
          <w:jc w:val="center"/>
        </w:trPr>
        <w:tc>
          <w:tcPr>
            <w:tcW w:w="97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Подпорожский</w:t>
            </w:r>
            <w:proofErr w:type="spellEnd"/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Подпорожье</w:t>
            </w:r>
          </w:p>
        </w:tc>
        <w:tc>
          <w:tcPr>
            <w:tcW w:w="1323" w:type="pct"/>
            <w:gridSpan w:val="2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32 500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23 083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26 438</w:t>
            </w:r>
          </w:p>
        </w:tc>
      </w:tr>
      <w:tr w:rsidR="00C91A66" w:rsidRPr="00AB2EC0" w:rsidTr="00886AB2">
        <w:trPr>
          <w:trHeight w:val="20"/>
          <w:jc w:val="center"/>
        </w:trPr>
        <w:tc>
          <w:tcPr>
            <w:tcW w:w="97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310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Бокситогорск</w:t>
            </w:r>
          </w:p>
        </w:tc>
        <w:tc>
          <w:tcPr>
            <w:tcW w:w="1323" w:type="pct"/>
            <w:gridSpan w:val="2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15 580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C91A66" w:rsidRPr="00AB2EC0" w:rsidRDefault="00C91A66" w:rsidP="00C91A66">
            <w:pPr>
              <w:spacing w:after="0" w:line="240" w:lineRule="auto"/>
              <w:ind w:firstLine="10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2E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23 432</w:t>
            </w:r>
          </w:p>
        </w:tc>
      </w:tr>
    </w:tbl>
    <w:p w:rsidR="009D193D" w:rsidRPr="009D193D" w:rsidRDefault="009D193D" w:rsidP="00C91A66">
      <w:pPr>
        <w:ind w:left="-284" w:firstLine="426"/>
        <w:jc w:val="both"/>
        <w:rPr>
          <w:rFonts w:ascii="Arial" w:hAnsi="Arial" w:cs="Arial"/>
          <w:sz w:val="20"/>
          <w:szCs w:val="20"/>
        </w:rPr>
      </w:pPr>
    </w:p>
    <w:p w:rsidR="009D193D" w:rsidRPr="009D193D" w:rsidRDefault="009D193D" w:rsidP="00C91A66">
      <w:pPr>
        <w:ind w:left="-284" w:firstLine="426"/>
        <w:jc w:val="center"/>
        <w:rPr>
          <w:rFonts w:ascii="Arial" w:hAnsi="Arial" w:cs="Arial"/>
          <w:i/>
          <w:sz w:val="20"/>
          <w:szCs w:val="20"/>
        </w:rPr>
      </w:pPr>
      <w:r w:rsidRPr="009D193D">
        <w:rPr>
          <w:rFonts w:ascii="Arial" w:hAnsi="Arial" w:cs="Arial"/>
          <w:i/>
          <w:sz w:val="20"/>
          <w:szCs w:val="20"/>
        </w:rPr>
        <w:t>Коммерческая недвижимость</w:t>
      </w:r>
    </w:p>
    <w:p w:rsidR="009D193D" w:rsidRPr="009D193D" w:rsidRDefault="009D193D" w:rsidP="00C91A66">
      <w:pPr>
        <w:ind w:left="-284" w:firstLine="426"/>
        <w:jc w:val="both"/>
        <w:rPr>
          <w:rFonts w:ascii="Arial" w:eastAsia="Calibri" w:hAnsi="Arial" w:cs="Arial"/>
          <w:sz w:val="20"/>
          <w:szCs w:val="20"/>
        </w:rPr>
      </w:pPr>
      <w:r w:rsidRPr="009D193D">
        <w:rPr>
          <w:rFonts w:ascii="Arial" w:eastAsia="Calibri" w:hAnsi="Arial" w:cs="Arial"/>
          <w:sz w:val="20"/>
          <w:szCs w:val="20"/>
        </w:rPr>
        <w:t>Рынок коммерческой недвижимости Ленинградской области развит слабо и характеризуется дефицитом качественных объектов. Максимальный объем предложения сосредоточен во Всеволож</w:t>
      </w:r>
      <w:r>
        <w:rPr>
          <w:rFonts w:ascii="Arial" w:hAnsi="Arial" w:cs="Arial"/>
          <w:sz w:val="20"/>
          <w:szCs w:val="20"/>
        </w:rPr>
        <w:t>ском и Гатчинском районах, а также зонах, примыкающих к границам Санкт-Петербурга.</w:t>
      </w:r>
    </w:p>
    <w:p w:rsidR="009D193D" w:rsidRPr="009D193D" w:rsidRDefault="009D193D" w:rsidP="00C91A66">
      <w:pPr>
        <w:ind w:left="-284" w:firstLine="426"/>
        <w:jc w:val="both"/>
        <w:rPr>
          <w:rFonts w:ascii="Arial" w:eastAsia="Calibri" w:hAnsi="Arial" w:cs="Arial"/>
          <w:sz w:val="20"/>
          <w:szCs w:val="20"/>
        </w:rPr>
      </w:pPr>
      <w:r w:rsidRPr="009D193D">
        <w:rPr>
          <w:rFonts w:ascii="Arial" w:eastAsia="Calibri" w:hAnsi="Arial" w:cs="Arial"/>
          <w:sz w:val="20"/>
          <w:szCs w:val="20"/>
        </w:rPr>
        <w:t>В Ленинградской области рынок недвижимости до недавнего времени был развит слабо: предложение ограничено, спрос небольшой. Как правило, областные предприятия размещали свои офисы или на производственной территории, или в Санкт-Петербурге. Если раньше девелоперская активность в области строительства деловых центров касалась лишь территорий, прилегающих к Санкт-Петербургу, то сегодня объекты офисной недвижимости строятся во всех районных центрах.</w:t>
      </w:r>
    </w:p>
    <w:p w:rsidR="009D193D" w:rsidRPr="009D193D" w:rsidRDefault="009D193D" w:rsidP="00C91A66">
      <w:pPr>
        <w:ind w:left="-284" w:firstLine="426"/>
        <w:jc w:val="both"/>
        <w:rPr>
          <w:rFonts w:ascii="Arial" w:eastAsia="Calibri" w:hAnsi="Arial" w:cs="Arial"/>
          <w:sz w:val="20"/>
          <w:szCs w:val="20"/>
        </w:rPr>
      </w:pPr>
      <w:r w:rsidRPr="009D193D">
        <w:rPr>
          <w:rFonts w:ascii="Arial" w:eastAsia="Calibri" w:hAnsi="Arial" w:cs="Arial"/>
          <w:sz w:val="20"/>
          <w:szCs w:val="20"/>
        </w:rPr>
        <w:t xml:space="preserve">В настоящее время в области насчитывается около шести крупноформатных </w:t>
      </w:r>
      <w:proofErr w:type="gramStart"/>
      <w:r w:rsidRPr="009D193D">
        <w:rPr>
          <w:rFonts w:ascii="Arial" w:eastAsia="Calibri" w:hAnsi="Arial" w:cs="Arial"/>
          <w:sz w:val="20"/>
          <w:szCs w:val="20"/>
        </w:rPr>
        <w:t>бизнес-центров</w:t>
      </w:r>
      <w:proofErr w:type="gramEnd"/>
      <w:r w:rsidRPr="009D193D">
        <w:rPr>
          <w:rFonts w:ascii="Arial" w:eastAsia="Calibri" w:hAnsi="Arial" w:cs="Arial"/>
          <w:sz w:val="20"/>
          <w:szCs w:val="20"/>
        </w:rPr>
        <w:t>: два во Всеволожске (компания «</w:t>
      </w:r>
      <w:proofErr w:type="spellStart"/>
      <w:r w:rsidRPr="009D193D">
        <w:rPr>
          <w:rFonts w:ascii="Arial" w:eastAsia="Calibri" w:hAnsi="Arial" w:cs="Arial"/>
          <w:sz w:val="20"/>
          <w:szCs w:val="20"/>
        </w:rPr>
        <w:t>Окстрой</w:t>
      </w:r>
      <w:proofErr w:type="spellEnd"/>
      <w:r w:rsidRPr="009D193D">
        <w:rPr>
          <w:rFonts w:ascii="Arial" w:eastAsia="Calibri" w:hAnsi="Arial" w:cs="Arial"/>
          <w:sz w:val="20"/>
          <w:szCs w:val="20"/>
        </w:rPr>
        <w:t>»); один - в составе комплекса «Царское село» на Московском шоссе (компания «Центр развития»); следующий объект «</w:t>
      </w:r>
      <w:proofErr w:type="spellStart"/>
      <w:r w:rsidRPr="009D193D">
        <w:rPr>
          <w:rFonts w:ascii="Arial" w:eastAsia="Calibri" w:hAnsi="Arial" w:cs="Arial"/>
          <w:sz w:val="20"/>
          <w:szCs w:val="20"/>
        </w:rPr>
        <w:t>Горелово</w:t>
      </w:r>
      <w:proofErr w:type="spellEnd"/>
      <w:r w:rsidRPr="009D193D">
        <w:rPr>
          <w:rFonts w:ascii="Arial" w:eastAsia="Calibri" w:hAnsi="Arial" w:cs="Arial"/>
          <w:sz w:val="20"/>
          <w:szCs w:val="20"/>
        </w:rPr>
        <w:t xml:space="preserve"> - индустриальная зона» на </w:t>
      </w:r>
      <w:proofErr w:type="spellStart"/>
      <w:r w:rsidRPr="009D193D">
        <w:rPr>
          <w:rFonts w:ascii="Arial" w:eastAsia="Calibri" w:hAnsi="Arial" w:cs="Arial"/>
          <w:sz w:val="20"/>
          <w:szCs w:val="20"/>
        </w:rPr>
        <w:t>Волхонском</w:t>
      </w:r>
      <w:proofErr w:type="spellEnd"/>
      <w:r w:rsidRPr="009D193D">
        <w:rPr>
          <w:rFonts w:ascii="Arial" w:eastAsia="Calibri" w:hAnsi="Arial" w:cs="Arial"/>
          <w:sz w:val="20"/>
          <w:szCs w:val="20"/>
        </w:rPr>
        <w:t xml:space="preserve"> шоссе;  и также компания «Возрождение Санкт-Петербурга» построила в центре Выборга торгово-деловой комплекс класса «А+». </w:t>
      </w:r>
    </w:p>
    <w:p w:rsidR="009D193D" w:rsidRPr="009D193D" w:rsidRDefault="009D193D" w:rsidP="00C91A66">
      <w:pPr>
        <w:ind w:left="-284" w:firstLine="426"/>
        <w:jc w:val="both"/>
        <w:rPr>
          <w:rFonts w:ascii="Arial" w:eastAsia="Calibri" w:hAnsi="Arial" w:cs="Arial"/>
          <w:sz w:val="20"/>
          <w:szCs w:val="20"/>
        </w:rPr>
      </w:pPr>
      <w:r w:rsidRPr="009D193D">
        <w:rPr>
          <w:rFonts w:ascii="Arial" w:eastAsia="Calibri" w:hAnsi="Arial" w:cs="Arial"/>
          <w:sz w:val="20"/>
          <w:szCs w:val="20"/>
        </w:rPr>
        <w:t>Развитие коммерческой недвижимости в Ленинградской области неравномерно, (чем дальше от Санкт-Петербурга и меньше численность населения, тем ниже коммерческая активность) согласно данным анализа рынка, можно выделить:</w:t>
      </w:r>
    </w:p>
    <w:p w:rsidR="009D193D" w:rsidRPr="009D193D" w:rsidRDefault="009D193D" w:rsidP="00C91A66">
      <w:pPr>
        <w:pStyle w:val="a6"/>
        <w:numPr>
          <w:ilvl w:val="0"/>
          <w:numId w:val="1"/>
        </w:numPr>
        <w:ind w:left="-284" w:firstLine="426"/>
        <w:jc w:val="both"/>
        <w:rPr>
          <w:rFonts w:ascii="Arial" w:eastAsia="Calibri" w:hAnsi="Arial" w:cs="Arial"/>
          <w:sz w:val="20"/>
          <w:szCs w:val="20"/>
        </w:rPr>
      </w:pPr>
      <w:r w:rsidRPr="009D193D">
        <w:rPr>
          <w:rFonts w:ascii="Arial" w:eastAsia="Calibri" w:hAnsi="Arial" w:cs="Arial"/>
          <w:sz w:val="20"/>
          <w:szCs w:val="20"/>
        </w:rPr>
        <w:t>группа 1: наибольшее развитие сегмент коммерческой недвижимости получил в прилегающих к Санкт-Петербургу территориях и в крупнейших городах (численность населения 50-100 тыс</w:t>
      </w:r>
      <w:proofErr w:type="gramStart"/>
      <w:r w:rsidRPr="009D193D">
        <w:rPr>
          <w:rFonts w:ascii="Arial" w:eastAsia="Calibri" w:hAnsi="Arial" w:cs="Arial"/>
          <w:sz w:val="20"/>
          <w:szCs w:val="20"/>
        </w:rPr>
        <w:t>.ч</w:t>
      </w:r>
      <w:proofErr w:type="gramEnd"/>
      <w:r w:rsidRPr="009D193D">
        <w:rPr>
          <w:rFonts w:ascii="Arial" w:eastAsia="Calibri" w:hAnsi="Arial" w:cs="Arial"/>
          <w:sz w:val="20"/>
          <w:szCs w:val="20"/>
        </w:rPr>
        <w:t>ел) Ленинградской области: Гатчина, Выборг, Сосновый Бор, Всеволожск, Сертолово.</w:t>
      </w:r>
    </w:p>
    <w:p w:rsidR="009D193D" w:rsidRPr="009D193D" w:rsidRDefault="009D193D" w:rsidP="00C91A66">
      <w:pPr>
        <w:pStyle w:val="a6"/>
        <w:numPr>
          <w:ilvl w:val="0"/>
          <w:numId w:val="1"/>
        </w:numPr>
        <w:ind w:left="-284" w:firstLine="426"/>
        <w:jc w:val="both"/>
        <w:rPr>
          <w:rFonts w:ascii="Arial" w:eastAsia="Calibri" w:hAnsi="Arial" w:cs="Arial"/>
          <w:sz w:val="20"/>
          <w:szCs w:val="20"/>
        </w:rPr>
      </w:pPr>
      <w:r w:rsidRPr="009D193D">
        <w:rPr>
          <w:rFonts w:ascii="Arial" w:eastAsia="Calibri" w:hAnsi="Arial" w:cs="Arial"/>
          <w:sz w:val="20"/>
          <w:szCs w:val="20"/>
        </w:rPr>
        <w:t xml:space="preserve">группа 2: далее по уровню развития идут достаточно крупные города (около 30-50 тыс. чел.), но расположенные в удалении от Санкт-Петербурга: </w:t>
      </w:r>
      <w:proofErr w:type="gramStart"/>
      <w:r w:rsidRPr="009D193D">
        <w:rPr>
          <w:rFonts w:ascii="Arial" w:eastAsia="Calibri" w:hAnsi="Arial" w:cs="Arial"/>
          <w:sz w:val="20"/>
          <w:szCs w:val="20"/>
        </w:rPr>
        <w:t>Кингисепп, Тихвин, Волхов, Тосно, Луга, Сланцы;</w:t>
      </w:r>
      <w:proofErr w:type="gramEnd"/>
    </w:p>
    <w:p w:rsidR="009D193D" w:rsidRPr="009D193D" w:rsidRDefault="009D193D" w:rsidP="00C91A66">
      <w:pPr>
        <w:pStyle w:val="a6"/>
        <w:numPr>
          <w:ilvl w:val="0"/>
          <w:numId w:val="1"/>
        </w:numPr>
        <w:ind w:left="-284" w:firstLine="426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9D193D">
        <w:rPr>
          <w:rFonts w:ascii="Arial" w:eastAsia="Calibri" w:hAnsi="Arial" w:cs="Arial"/>
          <w:sz w:val="20"/>
          <w:szCs w:val="20"/>
        </w:rPr>
        <w:t>группа 3: города с численностью населения 10-25 тыс. чел.: Пикалево, Бокситогорск, Лодейное поле, Приозерск, Шлиссельбург, Волосово, Вырица и пр.</w:t>
      </w:r>
      <w:proofErr w:type="gramEnd"/>
    </w:p>
    <w:p w:rsidR="009D193D" w:rsidRPr="009D193D" w:rsidRDefault="009D193D" w:rsidP="00C91A66">
      <w:pPr>
        <w:pStyle w:val="a6"/>
        <w:numPr>
          <w:ilvl w:val="0"/>
          <w:numId w:val="1"/>
        </w:numPr>
        <w:ind w:left="-284" w:firstLine="426"/>
        <w:jc w:val="both"/>
        <w:rPr>
          <w:rFonts w:ascii="Arial" w:eastAsia="Calibri" w:hAnsi="Arial" w:cs="Arial"/>
          <w:sz w:val="20"/>
          <w:szCs w:val="20"/>
        </w:rPr>
      </w:pPr>
      <w:r w:rsidRPr="009D193D">
        <w:rPr>
          <w:rFonts w:ascii="Arial" w:eastAsia="Calibri" w:hAnsi="Arial" w:cs="Arial"/>
          <w:sz w:val="20"/>
          <w:szCs w:val="20"/>
        </w:rPr>
        <w:t>группа 4: прочие небольшие населенные пункты: поселки городского типа, деревни, села и пр.</w:t>
      </w:r>
    </w:p>
    <w:p w:rsidR="009D193D" w:rsidRPr="009D193D" w:rsidRDefault="009D193D" w:rsidP="00C91A66">
      <w:pPr>
        <w:ind w:left="-284" w:firstLine="426"/>
        <w:jc w:val="both"/>
        <w:rPr>
          <w:rFonts w:ascii="Arial" w:eastAsia="Calibri" w:hAnsi="Arial" w:cs="Arial"/>
          <w:sz w:val="20"/>
          <w:szCs w:val="20"/>
        </w:rPr>
      </w:pPr>
      <w:r w:rsidRPr="009D193D">
        <w:rPr>
          <w:rFonts w:ascii="Arial" w:eastAsia="Calibri" w:hAnsi="Arial" w:cs="Arial"/>
          <w:sz w:val="20"/>
          <w:szCs w:val="20"/>
        </w:rPr>
        <w:t xml:space="preserve">Возможно несоответствие классификации при наличии особенностей населенного пункта: размещение в населенном пункте крупного градообразующего предприятия (г. Сосновый Бор - Филиал ОАО «Концерн Росэнергоатом» «Ленинградская атомная станция»), особенностей местоположения и исторический фактор (г. Выборг – портовый город, промышленный и культурный центр, Новое </w:t>
      </w:r>
      <w:proofErr w:type="spellStart"/>
      <w:r w:rsidRPr="009D193D">
        <w:rPr>
          <w:rFonts w:ascii="Arial" w:eastAsia="Calibri" w:hAnsi="Arial" w:cs="Arial"/>
          <w:sz w:val="20"/>
          <w:szCs w:val="20"/>
        </w:rPr>
        <w:t>Девяткино</w:t>
      </w:r>
      <w:proofErr w:type="spellEnd"/>
      <w:r w:rsidRPr="009D193D">
        <w:rPr>
          <w:rFonts w:ascii="Arial" w:eastAsia="Calibri" w:hAnsi="Arial" w:cs="Arial"/>
          <w:sz w:val="20"/>
          <w:szCs w:val="20"/>
        </w:rPr>
        <w:t xml:space="preserve"> – пригород Санкт-Петербурга с активно развивающейся новой жилищной застройкой и др.).</w:t>
      </w:r>
    </w:p>
    <w:p w:rsidR="009D193D" w:rsidRPr="009D193D" w:rsidRDefault="009D193D" w:rsidP="00C91A66">
      <w:pPr>
        <w:ind w:left="-284" w:firstLine="426"/>
        <w:jc w:val="both"/>
        <w:rPr>
          <w:rFonts w:ascii="Arial" w:eastAsia="Calibri" w:hAnsi="Arial" w:cs="Arial"/>
          <w:sz w:val="20"/>
          <w:szCs w:val="20"/>
        </w:rPr>
      </w:pPr>
      <w:r w:rsidRPr="009D193D">
        <w:rPr>
          <w:rFonts w:ascii="Arial" w:eastAsia="Calibri" w:hAnsi="Arial" w:cs="Arial"/>
          <w:sz w:val="20"/>
          <w:szCs w:val="20"/>
        </w:rPr>
        <w:t xml:space="preserve">Предложение по продаже/аренде в Ленинградской области </w:t>
      </w:r>
      <w:proofErr w:type="gramStart"/>
      <w:r w:rsidRPr="009D193D">
        <w:rPr>
          <w:rFonts w:ascii="Arial" w:eastAsia="Calibri" w:hAnsi="Arial" w:cs="Arial"/>
          <w:sz w:val="20"/>
          <w:szCs w:val="20"/>
        </w:rPr>
        <w:t>значительно ограничено</w:t>
      </w:r>
      <w:proofErr w:type="gramEnd"/>
      <w:r w:rsidRPr="009D193D">
        <w:rPr>
          <w:rFonts w:ascii="Arial" w:eastAsia="Calibri" w:hAnsi="Arial" w:cs="Arial"/>
          <w:sz w:val="20"/>
          <w:szCs w:val="20"/>
        </w:rPr>
        <w:t xml:space="preserve"> и имеет тенденцию к уменьшению по мере удаления от Санкт-Петербурга. Наименьшее количество </w:t>
      </w:r>
      <w:proofErr w:type="gramStart"/>
      <w:r w:rsidRPr="009D193D">
        <w:rPr>
          <w:rFonts w:ascii="Arial" w:eastAsia="Calibri" w:hAnsi="Arial" w:cs="Arial"/>
          <w:sz w:val="20"/>
          <w:szCs w:val="20"/>
        </w:rPr>
        <w:t>предложении</w:t>
      </w:r>
      <w:proofErr w:type="gramEnd"/>
      <w:r w:rsidRPr="009D193D">
        <w:rPr>
          <w:rFonts w:ascii="Arial" w:eastAsia="Calibri" w:hAnsi="Arial" w:cs="Arial"/>
          <w:sz w:val="20"/>
          <w:szCs w:val="20"/>
        </w:rPr>
        <w:t xml:space="preserve"> отмечается на востоке области. </w:t>
      </w:r>
    </w:p>
    <w:p w:rsidR="009D193D" w:rsidRPr="009D193D" w:rsidRDefault="009D193D" w:rsidP="00C91A66">
      <w:pPr>
        <w:ind w:left="-284" w:firstLine="426"/>
        <w:jc w:val="both"/>
        <w:rPr>
          <w:rFonts w:ascii="Arial" w:eastAsia="Calibri" w:hAnsi="Arial" w:cs="Arial"/>
          <w:sz w:val="20"/>
          <w:szCs w:val="20"/>
        </w:rPr>
      </w:pPr>
      <w:r w:rsidRPr="009D193D">
        <w:rPr>
          <w:rFonts w:ascii="Arial" w:eastAsia="Calibri" w:hAnsi="Arial" w:cs="Arial"/>
          <w:sz w:val="20"/>
          <w:szCs w:val="20"/>
        </w:rPr>
        <w:t>Проанализиров</w:t>
      </w:r>
      <w:bookmarkStart w:id="0" w:name="_GoBack"/>
      <w:bookmarkEnd w:id="0"/>
      <w:r w:rsidRPr="009D193D">
        <w:rPr>
          <w:rFonts w:ascii="Arial" w:eastAsia="Calibri" w:hAnsi="Arial" w:cs="Arial"/>
          <w:sz w:val="20"/>
          <w:szCs w:val="20"/>
        </w:rPr>
        <w:t>ав цены предложений из открытых источников, можно выделить следующие ценовые диапазоны:</w:t>
      </w:r>
    </w:p>
    <w:tbl>
      <w:tblPr>
        <w:tblW w:w="5066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597"/>
        <w:gridCol w:w="1907"/>
        <w:gridCol w:w="5493"/>
      </w:tblGrid>
      <w:tr w:rsidR="009D193D" w:rsidRPr="009D193D" w:rsidTr="00886AB2">
        <w:trPr>
          <w:cantSplit/>
          <w:trHeight w:val="20"/>
          <w:jc w:val="center"/>
        </w:trPr>
        <w:tc>
          <w:tcPr>
            <w:tcW w:w="740" w:type="pct"/>
            <w:shd w:val="clear" w:color="auto" w:fill="auto"/>
            <w:vAlign w:val="center"/>
            <w:hideMark/>
          </w:tcPr>
          <w:p w:rsidR="009D193D" w:rsidRPr="009D193D" w:rsidRDefault="009D193D" w:rsidP="00886AB2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9D193D" w:rsidRPr="009D193D" w:rsidRDefault="009D193D" w:rsidP="00886AB2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Диапазон цен предложений, руб./кв</w:t>
            </w:r>
            <w:proofErr w:type="gramStart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НДС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9D193D" w:rsidRPr="009D193D" w:rsidRDefault="009D193D" w:rsidP="00886AB2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Диапазон арендных ставок, руб./</w:t>
            </w:r>
            <w:proofErr w:type="spellStart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НДС</w:t>
            </w:r>
          </w:p>
        </w:tc>
        <w:tc>
          <w:tcPr>
            <w:tcW w:w="2601" w:type="pct"/>
            <w:shd w:val="clear" w:color="auto" w:fill="auto"/>
            <w:vAlign w:val="center"/>
            <w:hideMark/>
          </w:tcPr>
          <w:p w:rsidR="009D193D" w:rsidRPr="009D193D" w:rsidRDefault="009D193D" w:rsidP="00886AB2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9D193D" w:rsidRPr="009D193D" w:rsidTr="00886AB2">
        <w:trPr>
          <w:cantSplit/>
          <w:trHeight w:val="20"/>
          <w:jc w:val="center"/>
        </w:trPr>
        <w:tc>
          <w:tcPr>
            <w:tcW w:w="740" w:type="pct"/>
            <w:shd w:val="clear" w:color="auto" w:fill="auto"/>
            <w:vAlign w:val="center"/>
            <w:hideMark/>
          </w:tcPr>
          <w:p w:rsidR="009D193D" w:rsidRPr="009D193D" w:rsidRDefault="009D193D" w:rsidP="00886AB2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Выборг (центральная часть)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9D193D" w:rsidRPr="009D193D" w:rsidRDefault="009D193D" w:rsidP="00886AB2">
            <w:pPr>
              <w:spacing w:after="0" w:line="240" w:lineRule="auto"/>
              <w:ind w:firstLine="67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70 000 - 100 000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9D193D" w:rsidRPr="009D193D" w:rsidRDefault="009D193D" w:rsidP="00886AB2">
            <w:pPr>
              <w:spacing w:after="0" w:line="240" w:lineRule="auto"/>
              <w:ind w:firstLine="67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500 - 1 000</w:t>
            </w:r>
          </w:p>
        </w:tc>
        <w:tc>
          <w:tcPr>
            <w:tcW w:w="2601" w:type="pct"/>
            <w:shd w:val="clear" w:color="auto" w:fill="auto"/>
            <w:vAlign w:val="center"/>
            <w:hideMark/>
          </w:tcPr>
          <w:p w:rsidR="009D193D" w:rsidRPr="009D193D" w:rsidRDefault="009D193D" w:rsidP="00886AB2">
            <w:pPr>
              <w:spacing w:after="0" w:line="240" w:lineRule="auto"/>
              <w:ind w:firstLine="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Максимальная цена предложения в 230 </w:t>
            </w:r>
            <w:proofErr w:type="spellStart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зафиксирована на объект расположенный напротив Выборгского замка (туристический и исторический центр). максимальные арендные ставки (1000-2000 руб./</w:t>
            </w:r>
            <w:proofErr w:type="spellStart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./</w:t>
            </w:r>
            <w:proofErr w:type="spellStart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- на небольшие помещения/части помещений, находящихся в торговых комплексах</w:t>
            </w:r>
            <w:proofErr w:type="gramStart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И</w:t>
            </w:r>
            <w:proofErr w:type="gramEnd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сходя из даты подачи </w:t>
            </w:r>
            <w:proofErr w:type="spellStart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объялений</w:t>
            </w:r>
            <w:proofErr w:type="spellEnd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срок экспозиции может доходить до 2х лет (при отсутствие снижения цены)</w:t>
            </w:r>
          </w:p>
        </w:tc>
      </w:tr>
      <w:tr w:rsidR="009D193D" w:rsidRPr="009D193D" w:rsidTr="00886AB2">
        <w:trPr>
          <w:cantSplit/>
          <w:trHeight w:val="20"/>
          <w:jc w:val="center"/>
        </w:trPr>
        <w:tc>
          <w:tcPr>
            <w:tcW w:w="740" w:type="pct"/>
            <w:shd w:val="clear" w:color="auto" w:fill="auto"/>
            <w:vAlign w:val="center"/>
            <w:hideMark/>
          </w:tcPr>
          <w:p w:rsidR="009D193D" w:rsidRPr="009D193D" w:rsidRDefault="009D193D" w:rsidP="00886AB2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г. Тихвин (центральная часть)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9D193D" w:rsidRPr="009D193D" w:rsidRDefault="009D193D" w:rsidP="00886AB2">
            <w:pPr>
              <w:spacing w:after="0" w:line="240" w:lineRule="auto"/>
              <w:ind w:firstLine="67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29 000 - 60 000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9D193D" w:rsidRPr="009D193D" w:rsidRDefault="009D193D" w:rsidP="00886AB2">
            <w:pPr>
              <w:spacing w:after="0" w:line="240" w:lineRule="auto"/>
              <w:ind w:firstLine="67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400 - 600</w:t>
            </w:r>
          </w:p>
        </w:tc>
        <w:tc>
          <w:tcPr>
            <w:tcW w:w="2601" w:type="pct"/>
            <w:shd w:val="clear" w:color="auto" w:fill="auto"/>
            <w:hideMark/>
          </w:tcPr>
          <w:p w:rsidR="009D193D" w:rsidRPr="009D193D" w:rsidRDefault="009D193D" w:rsidP="00886AB2">
            <w:pPr>
              <w:spacing w:after="0" w:line="240" w:lineRule="auto"/>
              <w:ind w:firstLine="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Арендные ставки для объектов расположенных на выезде из города - около 300 руб./кв.м./мес., максимальная (основные торговые коридоры, 1 этаж) - 1000 руб./кв.м./мес. Большая часть предложений находится в диапазоне 30 000 - 45 000 руб./кв</w:t>
            </w:r>
            <w:proofErr w:type="gramStart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</w:tr>
      <w:tr w:rsidR="009D193D" w:rsidRPr="009D193D" w:rsidTr="00886AB2">
        <w:trPr>
          <w:cantSplit/>
          <w:trHeight w:val="20"/>
          <w:jc w:val="center"/>
        </w:trPr>
        <w:tc>
          <w:tcPr>
            <w:tcW w:w="740" w:type="pct"/>
            <w:shd w:val="clear" w:color="auto" w:fill="auto"/>
            <w:vAlign w:val="center"/>
            <w:hideMark/>
          </w:tcPr>
          <w:p w:rsidR="00886AB2" w:rsidRDefault="009D193D" w:rsidP="00886AB2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икалёво</w:t>
            </w:r>
            <w:proofErr w:type="spellEnd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9D193D" w:rsidRPr="009D193D" w:rsidRDefault="009D193D" w:rsidP="00886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Бокситогорск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9D193D" w:rsidRPr="009D193D" w:rsidRDefault="009D193D" w:rsidP="00886AB2">
            <w:pPr>
              <w:spacing w:after="0" w:line="240" w:lineRule="auto"/>
              <w:ind w:firstLine="67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15 000 - 52 000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9D193D" w:rsidRPr="009D193D" w:rsidRDefault="009D193D" w:rsidP="00886AB2">
            <w:pPr>
              <w:spacing w:after="0" w:line="240" w:lineRule="auto"/>
              <w:ind w:firstLine="67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400 - 500</w:t>
            </w:r>
          </w:p>
        </w:tc>
        <w:tc>
          <w:tcPr>
            <w:tcW w:w="2601" w:type="pct"/>
            <w:shd w:val="clear" w:color="auto" w:fill="auto"/>
            <w:hideMark/>
          </w:tcPr>
          <w:p w:rsidR="009D193D" w:rsidRPr="009D193D" w:rsidRDefault="009D193D" w:rsidP="00886AB2">
            <w:pPr>
              <w:spacing w:after="0" w:line="240" w:lineRule="auto"/>
              <w:ind w:firstLine="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Арендные ставки для объектов расположенных в удалении от центра города - около 200 - 300 руб./кв.м./мес., максимальная (основные торговые коридоры, 1 этаж, торговые места рядом с кассами магазинов "Пятерочка", "Магнит") - около 1000 руб./кв.м./мес. Большая часть предложений находится в диапазоне 30 000 - 45 000 руб./кв.м. Минимальные цены предложений 15 000 руб./кв.м. - подвал в</w:t>
            </w:r>
            <w:proofErr w:type="gramEnd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многоквартирном жилом </w:t>
            </w:r>
            <w:proofErr w:type="gramStart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доме</w:t>
            </w:r>
            <w:proofErr w:type="gramEnd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(требует ремонта) и 25 000 руб./кв.м. - цокольный этаж с чистовой отделкой.</w:t>
            </w:r>
          </w:p>
        </w:tc>
      </w:tr>
      <w:tr w:rsidR="009D193D" w:rsidRPr="009D193D" w:rsidTr="00886AB2">
        <w:trPr>
          <w:cantSplit/>
          <w:trHeight w:val="20"/>
          <w:jc w:val="center"/>
        </w:trPr>
        <w:tc>
          <w:tcPr>
            <w:tcW w:w="740" w:type="pct"/>
            <w:shd w:val="clear" w:color="auto" w:fill="auto"/>
            <w:vAlign w:val="center"/>
            <w:hideMark/>
          </w:tcPr>
          <w:p w:rsidR="009D193D" w:rsidRPr="009D193D" w:rsidRDefault="009D193D" w:rsidP="00886AB2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Приозерск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9D193D" w:rsidRPr="009D193D" w:rsidRDefault="009D193D" w:rsidP="00886AB2">
            <w:pPr>
              <w:spacing w:after="0" w:line="240" w:lineRule="auto"/>
              <w:ind w:firstLine="67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25 000 - 40 000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9D193D" w:rsidRPr="009D193D" w:rsidRDefault="009D193D" w:rsidP="00886AB2">
            <w:pPr>
              <w:spacing w:after="0" w:line="240" w:lineRule="auto"/>
              <w:ind w:firstLine="67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300 - 600</w:t>
            </w:r>
          </w:p>
        </w:tc>
        <w:tc>
          <w:tcPr>
            <w:tcW w:w="2601" w:type="pct"/>
            <w:shd w:val="clear" w:color="auto" w:fill="auto"/>
            <w:hideMark/>
          </w:tcPr>
          <w:p w:rsidR="009D193D" w:rsidRPr="009D193D" w:rsidRDefault="009D193D" w:rsidP="00886AB2">
            <w:pPr>
              <w:spacing w:after="0" w:line="240" w:lineRule="auto"/>
              <w:ind w:firstLine="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Предложение по продаже ограничено (цены 2 предложений на торгово-офисные объекты 32 000 руб./кв</w:t>
            </w:r>
            <w:proofErr w:type="gramStart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35 000 руб./кв.м  (3, 4 этаж, новый БЦ). Максимальные арендные ставки 750 -1000 руб./</w:t>
            </w:r>
            <w:proofErr w:type="spellStart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НДС за торговые помещения на центральных улицах города и торговых зонах</w:t>
            </w:r>
          </w:p>
        </w:tc>
      </w:tr>
      <w:tr w:rsidR="009D193D" w:rsidRPr="009D193D" w:rsidTr="00886AB2">
        <w:trPr>
          <w:cantSplit/>
          <w:trHeight w:val="20"/>
          <w:jc w:val="center"/>
        </w:trPr>
        <w:tc>
          <w:tcPr>
            <w:tcW w:w="740" w:type="pct"/>
            <w:shd w:val="clear" w:color="auto" w:fill="auto"/>
            <w:vAlign w:val="center"/>
            <w:hideMark/>
          </w:tcPr>
          <w:p w:rsidR="009D193D" w:rsidRPr="009D193D" w:rsidRDefault="009D193D" w:rsidP="00886AB2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Сосновый Бор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9D193D" w:rsidRPr="009D193D" w:rsidRDefault="009D193D" w:rsidP="00886AB2">
            <w:pPr>
              <w:spacing w:after="0" w:line="240" w:lineRule="auto"/>
              <w:ind w:firstLine="67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30 000 - 70 000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9D193D" w:rsidRPr="009D193D" w:rsidRDefault="009D193D" w:rsidP="00886AB2">
            <w:pPr>
              <w:spacing w:after="0" w:line="240" w:lineRule="auto"/>
              <w:ind w:firstLine="67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500 - 1200</w:t>
            </w:r>
          </w:p>
        </w:tc>
        <w:tc>
          <w:tcPr>
            <w:tcW w:w="2601" w:type="pct"/>
            <w:shd w:val="clear" w:color="auto" w:fill="auto"/>
            <w:hideMark/>
          </w:tcPr>
          <w:p w:rsidR="009D193D" w:rsidRPr="009D193D" w:rsidRDefault="009D193D" w:rsidP="00886AB2">
            <w:pPr>
              <w:spacing w:after="0" w:line="240" w:lineRule="auto"/>
              <w:ind w:firstLine="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Предложение по продаже ограничено (цены 2 предложений на торгово-офисные объекты 32 000 руб./кв</w:t>
            </w:r>
            <w:proofErr w:type="gramStart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(ТЦ площадью 4 630 кв.м)  и 45 000 руб./кв.м  (здание на въезде в город торгово-офисного назначения, площадью 750 кв.м ). Минимальные арендные ставки 400 -500 руб./</w:t>
            </w:r>
            <w:proofErr w:type="spellStart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НДС.</w:t>
            </w:r>
          </w:p>
        </w:tc>
      </w:tr>
      <w:tr w:rsidR="009D193D" w:rsidRPr="009D193D" w:rsidTr="00886AB2">
        <w:trPr>
          <w:cantSplit/>
          <w:trHeight w:val="20"/>
          <w:jc w:val="center"/>
        </w:trPr>
        <w:tc>
          <w:tcPr>
            <w:tcW w:w="740" w:type="pct"/>
            <w:shd w:val="clear" w:color="auto" w:fill="auto"/>
            <w:vAlign w:val="center"/>
            <w:hideMark/>
          </w:tcPr>
          <w:p w:rsidR="009D193D" w:rsidRPr="009D193D" w:rsidRDefault="009D193D" w:rsidP="00886AB2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Коммунар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9D193D" w:rsidRPr="009D193D" w:rsidRDefault="009D193D" w:rsidP="00886AB2">
            <w:pPr>
              <w:spacing w:after="0" w:line="240" w:lineRule="auto"/>
              <w:ind w:firstLine="67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40 000 - 60 000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9D193D" w:rsidRPr="009D193D" w:rsidRDefault="009D193D" w:rsidP="00886AB2">
            <w:pPr>
              <w:spacing w:after="0" w:line="240" w:lineRule="auto"/>
              <w:ind w:firstLine="67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400 - 500</w:t>
            </w:r>
          </w:p>
        </w:tc>
        <w:tc>
          <w:tcPr>
            <w:tcW w:w="2601" w:type="pct"/>
            <w:shd w:val="clear" w:color="auto" w:fill="auto"/>
            <w:hideMark/>
          </w:tcPr>
          <w:p w:rsidR="009D193D" w:rsidRPr="009D193D" w:rsidRDefault="009D193D" w:rsidP="00886AB2">
            <w:pPr>
              <w:spacing w:after="0" w:line="240" w:lineRule="auto"/>
              <w:ind w:firstLine="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Предложение ограничено. Наибольшее число предложений относится с новым коммерческим помещениям в цоколе строящихся жилых домов (цены предложений около 70 000 руб./кв</w:t>
            </w:r>
            <w:proofErr w:type="gramStart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городах сопоставимых с г. Коммунар (Тосно, Никольское, Павлово). </w:t>
            </w:r>
            <w:proofErr w:type="gramStart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Арендные ставки для объектов расположенных на выезде из города - около 300 руб./кв.м./мес., максимальная (основные торговые коридоры, 1 этаж) - 1000 руб./кв.м./мес.</w:t>
            </w:r>
            <w:proofErr w:type="gramEnd"/>
          </w:p>
        </w:tc>
      </w:tr>
      <w:tr w:rsidR="009D193D" w:rsidRPr="009D193D" w:rsidTr="00886AB2">
        <w:trPr>
          <w:cantSplit/>
          <w:trHeight w:val="20"/>
          <w:jc w:val="center"/>
        </w:trPr>
        <w:tc>
          <w:tcPr>
            <w:tcW w:w="740" w:type="pct"/>
            <w:shd w:val="clear" w:color="auto" w:fill="auto"/>
            <w:vAlign w:val="center"/>
            <w:hideMark/>
          </w:tcPr>
          <w:p w:rsidR="009D193D" w:rsidRPr="009D193D" w:rsidRDefault="009D193D" w:rsidP="00886AB2">
            <w:pPr>
              <w:spacing w:after="0" w:line="240" w:lineRule="auto"/>
              <w:ind w:firstLine="6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Небольшие населенные пункты (поселки, деревни, села и пр.) численностью до 5000 человек в удалении (более 150 км от СПб)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9D193D" w:rsidRPr="009D193D" w:rsidRDefault="009D193D" w:rsidP="00886AB2">
            <w:pPr>
              <w:spacing w:after="0" w:line="240" w:lineRule="auto"/>
              <w:ind w:firstLine="67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5 000 - 30 000</w:t>
            </w:r>
          </w:p>
        </w:tc>
        <w:tc>
          <w:tcPr>
            <w:tcW w:w="903" w:type="pct"/>
            <w:shd w:val="clear" w:color="auto" w:fill="auto"/>
            <w:vAlign w:val="center"/>
            <w:hideMark/>
          </w:tcPr>
          <w:p w:rsidR="009D193D" w:rsidRPr="009D193D" w:rsidRDefault="009D193D" w:rsidP="00886AB2">
            <w:pPr>
              <w:spacing w:after="0" w:line="240" w:lineRule="auto"/>
              <w:ind w:firstLine="67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80 - 120</w:t>
            </w:r>
          </w:p>
        </w:tc>
        <w:tc>
          <w:tcPr>
            <w:tcW w:w="2601" w:type="pct"/>
            <w:shd w:val="clear" w:color="auto" w:fill="auto"/>
            <w:hideMark/>
          </w:tcPr>
          <w:p w:rsidR="009D193D" w:rsidRPr="009D193D" w:rsidRDefault="009D193D" w:rsidP="00886AB2">
            <w:pPr>
              <w:spacing w:after="0" w:line="240" w:lineRule="auto"/>
              <w:ind w:firstLine="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Предложение по продаже ограничено. Предложение по аренде представлено 1 предложением (100 руб./кв</w:t>
            </w:r>
            <w:proofErr w:type="gramStart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/мес.) при этом цена предложения данного объекта - 25 000 руб./кв.м с НДС, что говорит о высоком уровне ожидания у собственника при продаже, но низком уровне фактической доходности при сдаче в аренду. Согласно данным по муниципальным торгам (http://torgi.gov.ru) сделки по сопоставимым объектам заключаются на уровне 80-120 руб./</w:t>
            </w:r>
            <w:proofErr w:type="spellStart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9D19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НДС (без КУ)</w:t>
            </w:r>
          </w:p>
        </w:tc>
      </w:tr>
    </w:tbl>
    <w:p w:rsidR="00FA2A15" w:rsidRPr="00FA2A15" w:rsidRDefault="00FA2A15" w:rsidP="00C91A66">
      <w:pPr>
        <w:ind w:left="-284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сегменте производственно-складской недвижимости н</w:t>
      </w:r>
      <w:r w:rsidRPr="00FA2A15">
        <w:rPr>
          <w:rFonts w:ascii="Arial" w:hAnsi="Arial" w:cs="Arial"/>
          <w:sz w:val="20"/>
          <w:szCs w:val="20"/>
        </w:rPr>
        <w:t xml:space="preserve">а территории Ленинградской области преобладает предложение объектов находящихся в удовлетворительном состоянии, год постройки -  до 1980х г. </w:t>
      </w:r>
    </w:p>
    <w:p w:rsidR="00FA2A15" w:rsidRDefault="00FA2A15" w:rsidP="00C91A66">
      <w:pPr>
        <w:ind w:left="-284" w:firstLine="426"/>
        <w:jc w:val="both"/>
        <w:rPr>
          <w:rFonts w:ascii="Arial" w:hAnsi="Arial" w:cs="Arial"/>
          <w:sz w:val="20"/>
          <w:szCs w:val="20"/>
        </w:rPr>
      </w:pPr>
      <w:r w:rsidRPr="00FA2A15">
        <w:rPr>
          <w:rFonts w:ascii="Arial" w:hAnsi="Arial" w:cs="Arial"/>
          <w:sz w:val="20"/>
          <w:szCs w:val="20"/>
        </w:rPr>
        <w:t xml:space="preserve">Согласно данным </w:t>
      </w:r>
      <w:r>
        <w:rPr>
          <w:rFonts w:ascii="Arial" w:hAnsi="Arial" w:cs="Arial"/>
          <w:sz w:val="20"/>
          <w:szCs w:val="20"/>
        </w:rPr>
        <w:t>из открытых источников</w:t>
      </w:r>
      <w:r>
        <w:rPr>
          <w:rStyle w:val="a5"/>
          <w:rFonts w:ascii="Arial" w:hAnsi="Arial" w:cs="Arial"/>
          <w:sz w:val="20"/>
          <w:szCs w:val="20"/>
        </w:rPr>
        <w:footnoteReference w:id="5"/>
      </w:r>
      <w:r w:rsidRPr="00FA2A15">
        <w:rPr>
          <w:rFonts w:ascii="Arial" w:hAnsi="Arial" w:cs="Arial"/>
          <w:sz w:val="20"/>
          <w:szCs w:val="20"/>
        </w:rPr>
        <w:t xml:space="preserve"> удельный показатель цены предложения </w:t>
      </w:r>
      <w:proofErr w:type="spellStart"/>
      <w:r w:rsidRPr="00FA2A15">
        <w:rPr>
          <w:rFonts w:ascii="Arial" w:hAnsi="Arial" w:cs="Arial"/>
          <w:sz w:val="20"/>
          <w:szCs w:val="20"/>
        </w:rPr>
        <w:t>низкоклассной</w:t>
      </w:r>
      <w:proofErr w:type="spellEnd"/>
      <w:r w:rsidRPr="00FA2A15">
        <w:rPr>
          <w:rFonts w:ascii="Arial" w:hAnsi="Arial" w:cs="Arial"/>
          <w:sz w:val="20"/>
          <w:szCs w:val="20"/>
        </w:rPr>
        <w:t xml:space="preserve"> производственной недвижимости составляет от 9 600 до 21 739 руб./кв</w:t>
      </w:r>
      <w:proofErr w:type="gramStart"/>
      <w:r w:rsidRPr="00FA2A15">
        <w:rPr>
          <w:rFonts w:ascii="Arial" w:hAnsi="Arial" w:cs="Arial"/>
          <w:sz w:val="20"/>
          <w:szCs w:val="20"/>
        </w:rPr>
        <w:t>.м</w:t>
      </w:r>
      <w:proofErr w:type="gramEnd"/>
      <w:r w:rsidRPr="00FA2A15">
        <w:rPr>
          <w:rFonts w:ascii="Arial" w:hAnsi="Arial" w:cs="Arial"/>
          <w:sz w:val="20"/>
          <w:szCs w:val="20"/>
        </w:rPr>
        <w:t xml:space="preserve"> (состояние удовлетворительное, года постройки - до 1980х, капитальные ремонты не производились).</w:t>
      </w:r>
    </w:p>
    <w:p w:rsidR="009D193D" w:rsidRDefault="00FA2A15" w:rsidP="00C91A66">
      <w:pPr>
        <w:ind w:left="-284" w:firstLine="426"/>
        <w:jc w:val="both"/>
        <w:rPr>
          <w:rFonts w:ascii="Arial" w:hAnsi="Arial" w:cs="Arial"/>
          <w:sz w:val="20"/>
          <w:szCs w:val="20"/>
        </w:rPr>
      </w:pPr>
      <w:r w:rsidRPr="00FA2A15">
        <w:rPr>
          <w:rFonts w:ascii="Arial" w:hAnsi="Arial" w:cs="Arial"/>
          <w:sz w:val="20"/>
          <w:szCs w:val="20"/>
        </w:rPr>
        <w:t>Цены предложений производственной недвижимости нового строительства, либо после капитальных ремонтов составляют от 25 394 до 44 331 руб./кв.м.</w:t>
      </w:r>
    </w:p>
    <w:p w:rsidR="000570C3" w:rsidRDefault="009D193D" w:rsidP="00C91A66">
      <w:pPr>
        <w:ind w:left="-284" w:firstLine="426"/>
        <w:jc w:val="center"/>
        <w:rPr>
          <w:rFonts w:ascii="Arial" w:hAnsi="Arial" w:cs="Arial"/>
          <w:i/>
          <w:sz w:val="20"/>
          <w:szCs w:val="20"/>
        </w:rPr>
      </w:pPr>
      <w:r w:rsidRPr="009D193D">
        <w:rPr>
          <w:rFonts w:ascii="Arial" w:hAnsi="Arial" w:cs="Arial"/>
          <w:i/>
          <w:sz w:val="20"/>
          <w:szCs w:val="20"/>
        </w:rPr>
        <w:t>Земельные участки</w:t>
      </w:r>
    </w:p>
    <w:p w:rsidR="00FA2A15" w:rsidRPr="00FA2A15" w:rsidRDefault="00FA2A15" w:rsidP="00C91A66">
      <w:pPr>
        <w:ind w:left="-284" w:firstLine="426"/>
        <w:jc w:val="both"/>
        <w:rPr>
          <w:rFonts w:ascii="Arial" w:hAnsi="Arial" w:cs="Arial"/>
          <w:sz w:val="20"/>
          <w:szCs w:val="20"/>
        </w:rPr>
      </w:pPr>
      <w:r w:rsidRPr="00FA2A15">
        <w:rPr>
          <w:rFonts w:ascii="Arial" w:hAnsi="Arial" w:cs="Arial"/>
          <w:sz w:val="20"/>
          <w:szCs w:val="20"/>
        </w:rPr>
        <w:t xml:space="preserve">С началом кризиса платежеспособный спрос на участки в </w:t>
      </w:r>
      <w:r>
        <w:rPr>
          <w:rFonts w:ascii="Arial" w:hAnsi="Arial" w:cs="Arial"/>
          <w:sz w:val="20"/>
          <w:szCs w:val="20"/>
        </w:rPr>
        <w:t>Ленинградской</w:t>
      </w:r>
      <w:r w:rsidRPr="00FA2A15">
        <w:rPr>
          <w:rFonts w:ascii="Arial" w:hAnsi="Arial" w:cs="Arial"/>
          <w:sz w:val="20"/>
          <w:szCs w:val="20"/>
        </w:rPr>
        <w:t xml:space="preserve"> области сократился. Однако цены предложения опускаются медленнее, поэтому сделки с землей происходят, когда продавец идёт на дисконт в 30–40%.</w:t>
      </w:r>
    </w:p>
    <w:p w:rsidR="00FA2A15" w:rsidRDefault="00FA2A15" w:rsidP="00C91A66">
      <w:pPr>
        <w:ind w:left="-284"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FA2A15">
        <w:rPr>
          <w:rFonts w:ascii="Arial" w:hAnsi="Arial" w:cs="Arial"/>
          <w:sz w:val="20"/>
          <w:szCs w:val="20"/>
        </w:rPr>
        <w:t>Средняя удельная цена предложения земельных участков промышленно-складского назначения в Ленинградской области составляет около 1500 руб./кв. м., диапазон цены предложения составляет 100-6500 руб./кв. м. Наиболее высокие цены предложения сложились во Всеволожском (1985 руб./кв. м.), Ломоносовском (1628 руб./кв. м.) и Выборгском (1430 руб./кв. м.) районах</w:t>
      </w:r>
      <w:r>
        <w:rPr>
          <w:rStyle w:val="a5"/>
          <w:rFonts w:ascii="Arial" w:hAnsi="Arial" w:cs="Arial"/>
          <w:sz w:val="20"/>
          <w:szCs w:val="20"/>
        </w:rPr>
        <w:footnoteReference w:id="6"/>
      </w:r>
      <w:r w:rsidRPr="00FA2A15">
        <w:rPr>
          <w:rFonts w:ascii="Arial" w:hAnsi="Arial" w:cs="Arial"/>
          <w:sz w:val="20"/>
          <w:szCs w:val="20"/>
        </w:rPr>
        <w:t>.</w:t>
      </w:r>
      <w:proofErr w:type="gramEnd"/>
    </w:p>
    <w:p w:rsidR="00FA2A15" w:rsidRDefault="00FA2A15" w:rsidP="00C91A66">
      <w:pPr>
        <w:ind w:left="-284" w:firstLine="426"/>
        <w:jc w:val="both"/>
        <w:rPr>
          <w:rFonts w:ascii="Arial" w:hAnsi="Arial" w:cs="Arial"/>
          <w:sz w:val="20"/>
          <w:szCs w:val="20"/>
        </w:rPr>
      </w:pPr>
      <w:r w:rsidRPr="00FA2A15">
        <w:rPr>
          <w:rFonts w:ascii="Arial" w:hAnsi="Arial" w:cs="Arial"/>
          <w:sz w:val="20"/>
          <w:szCs w:val="20"/>
        </w:rPr>
        <w:t xml:space="preserve">Наиболее дорогие земельные участки сельскохозяйственного назначения предлагаются во Всеволожском, Выборгском, Ломоносовском и Гатчинском районах. Большинство таких участков расположено </w:t>
      </w:r>
      <w:r w:rsidRPr="00FA2A15">
        <w:rPr>
          <w:rFonts w:ascii="Arial" w:hAnsi="Arial" w:cs="Arial"/>
          <w:sz w:val="20"/>
          <w:szCs w:val="20"/>
        </w:rPr>
        <w:lastRenderedPageBreak/>
        <w:t>рядом с административной границей Петербурга и основными транспортными магистралями, разработано, с подключением (или возможностью подключения) центральных коммуникаций. Средняя удельная стоимость квадратного метра земли в данных районах составляет около 160 рублей/кв. м, максимальная цена предложения – около 600 рублей/кв. м</w:t>
      </w:r>
      <w:r>
        <w:rPr>
          <w:rFonts w:ascii="Arial" w:hAnsi="Arial" w:cs="Arial"/>
          <w:sz w:val="20"/>
          <w:szCs w:val="20"/>
        </w:rPr>
        <w:t xml:space="preserve">, минимальная - около 14 </w:t>
      </w:r>
      <w:r w:rsidRPr="00FA2A15">
        <w:rPr>
          <w:rFonts w:ascii="Arial" w:hAnsi="Arial" w:cs="Arial"/>
          <w:sz w:val="20"/>
          <w:szCs w:val="20"/>
        </w:rPr>
        <w:t>рублей/кв. м</w:t>
      </w:r>
      <w:r>
        <w:rPr>
          <w:rStyle w:val="a5"/>
          <w:rFonts w:ascii="Arial" w:hAnsi="Arial" w:cs="Arial"/>
          <w:sz w:val="20"/>
          <w:szCs w:val="20"/>
        </w:rPr>
        <w:footnoteReference w:id="7"/>
      </w:r>
      <w:r w:rsidRPr="00FA2A15">
        <w:rPr>
          <w:rFonts w:ascii="Arial" w:hAnsi="Arial" w:cs="Arial"/>
          <w:sz w:val="20"/>
          <w:szCs w:val="20"/>
        </w:rPr>
        <w:t>.</w:t>
      </w:r>
    </w:p>
    <w:p w:rsidR="00FA2A15" w:rsidRDefault="00F55235" w:rsidP="00C91A66">
      <w:pPr>
        <w:ind w:left="-284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Рынок</w:t>
      </w:r>
      <w:r w:rsidR="00FA2A15">
        <w:rPr>
          <w:rFonts w:ascii="Arial" w:hAnsi="Arial" w:cs="Arial"/>
          <w:sz w:val="20"/>
          <w:szCs w:val="20"/>
        </w:rPr>
        <w:t xml:space="preserve"> земель общественно-делового назначения</w:t>
      </w:r>
      <w:r>
        <w:rPr>
          <w:rFonts w:ascii="Arial" w:hAnsi="Arial" w:cs="Arial"/>
          <w:sz w:val="20"/>
          <w:szCs w:val="20"/>
        </w:rPr>
        <w:t xml:space="preserve"> Ленинградской области наименее развит. Большая часть предложений сконцентрирована в г. Всеволожске, средний диапазон цен предложений составляет </w:t>
      </w:r>
      <w:r w:rsidRPr="00F55235">
        <w:rPr>
          <w:rFonts w:ascii="Arial" w:hAnsi="Arial" w:cs="Arial"/>
          <w:sz w:val="20"/>
          <w:szCs w:val="20"/>
        </w:rPr>
        <w:t>8 564</w:t>
      </w:r>
      <w:r>
        <w:rPr>
          <w:rFonts w:ascii="Arial" w:hAnsi="Arial" w:cs="Arial"/>
          <w:sz w:val="20"/>
          <w:szCs w:val="20"/>
        </w:rPr>
        <w:t xml:space="preserve"> - 10 000 руб./кв</w:t>
      </w:r>
      <w:proofErr w:type="gramStart"/>
      <w:r>
        <w:rPr>
          <w:rFonts w:ascii="Arial" w:hAnsi="Arial" w:cs="Arial"/>
          <w:sz w:val="20"/>
          <w:szCs w:val="20"/>
        </w:rPr>
        <w:t>.м</w:t>
      </w:r>
      <w:proofErr w:type="gramEnd"/>
      <w:r>
        <w:rPr>
          <w:rStyle w:val="a5"/>
          <w:rFonts w:ascii="Arial" w:hAnsi="Arial" w:cs="Arial"/>
          <w:sz w:val="20"/>
          <w:szCs w:val="20"/>
        </w:rPr>
        <w:footnoteReference w:id="8"/>
      </w:r>
      <w:r w:rsidR="000B3F19">
        <w:rPr>
          <w:rFonts w:ascii="Arial" w:hAnsi="Arial" w:cs="Arial"/>
          <w:sz w:val="20"/>
          <w:szCs w:val="20"/>
        </w:rPr>
        <w:t xml:space="preserve">, предложения в иных городах Ленинградской области имеют единичный характер, диапазон цен предложений </w:t>
      </w:r>
      <w:r w:rsidR="000B3F19" w:rsidRPr="000B3F19">
        <w:rPr>
          <w:rFonts w:ascii="Arial" w:hAnsi="Arial" w:cs="Arial"/>
          <w:sz w:val="20"/>
          <w:szCs w:val="20"/>
        </w:rPr>
        <w:t>1 054</w:t>
      </w:r>
      <w:r w:rsidR="000B3F19">
        <w:rPr>
          <w:rFonts w:ascii="Arial" w:hAnsi="Arial" w:cs="Arial"/>
          <w:sz w:val="20"/>
          <w:szCs w:val="20"/>
        </w:rPr>
        <w:t xml:space="preserve"> - </w:t>
      </w:r>
      <w:r w:rsidR="000B3F19" w:rsidRPr="000B3F19">
        <w:rPr>
          <w:rFonts w:ascii="Arial" w:hAnsi="Arial" w:cs="Arial"/>
          <w:sz w:val="20"/>
          <w:szCs w:val="20"/>
        </w:rPr>
        <w:t>1 793</w:t>
      </w:r>
      <w:r w:rsidR="000B3F19">
        <w:rPr>
          <w:rFonts w:ascii="Arial" w:hAnsi="Arial" w:cs="Arial"/>
          <w:sz w:val="20"/>
          <w:szCs w:val="20"/>
        </w:rPr>
        <w:t xml:space="preserve"> руб./кв.м (города Тихвин, Новая Ладога, Кингисепп).</w:t>
      </w:r>
    </w:p>
    <w:p w:rsidR="000B3F19" w:rsidRDefault="000B3F19" w:rsidP="00C91A66">
      <w:pPr>
        <w:ind w:left="-284" w:firstLine="426"/>
        <w:jc w:val="center"/>
        <w:rPr>
          <w:rFonts w:ascii="Arial" w:hAnsi="Arial" w:cs="Arial"/>
          <w:i/>
          <w:sz w:val="20"/>
          <w:szCs w:val="20"/>
        </w:rPr>
      </w:pPr>
      <w:r w:rsidRPr="000B3F19">
        <w:rPr>
          <w:rFonts w:ascii="Arial" w:hAnsi="Arial" w:cs="Arial"/>
          <w:i/>
          <w:sz w:val="20"/>
          <w:szCs w:val="20"/>
        </w:rPr>
        <w:t>Выводы</w:t>
      </w:r>
    </w:p>
    <w:p w:rsidR="000B3F19" w:rsidRDefault="000B3F19" w:rsidP="00C91A66">
      <w:pPr>
        <w:ind w:left="-284" w:firstLine="426"/>
        <w:jc w:val="both"/>
        <w:rPr>
          <w:rFonts w:ascii="Arial" w:hAnsi="Arial" w:cs="Arial"/>
          <w:sz w:val="20"/>
          <w:szCs w:val="20"/>
        </w:rPr>
      </w:pPr>
      <w:r w:rsidRPr="000B3F19">
        <w:rPr>
          <w:rFonts w:ascii="Arial" w:hAnsi="Arial" w:cs="Arial"/>
          <w:sz w:val="20"/>
          <w:szCs w:val="20"/>
        </w:rPr>
        <w:t>Со 2 полугодия 2016 года окончательно сформировались предпосылки для начала постепенного восстановления рынка коммерческой недвижимости в 2017 году.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B3F19" w:rsidRDefault="000B3F19" w:rsidP="00C91A66">
      <w:pPr>
        <w:ind w:left="-284" w:firstLine="426"/>
        <w:jc w:val="both"/>
        <w:rPr>
          <w:rFonts w:ascii="Arial" w:hAnsi="Arial" w:cs="Arial"/>
          <w:sz w:val="20"/>
          <w:szCs w:val="20"/>
        </w:rPr>
      </w:pPr>
      <w:r w:rsidRPr="000B3F19">
        <w:rPr>
          <w:rFonts w:ascii="Arial" w:hAnsi="Arial" w:cs="Arial"/>
          <w:sz w:val="20"/>
          <w:szCs w:val="20"/>
        </w:rPr>
        <w:t xml:space="preserve">В 2016 году наблюдалось продолжение сокращения нового предложения коммерческой недвижимости, особенно на складском и офисном рынках, в то время как объёмы ввода торговой недвижимости по инерции сохранились </w:t>
      </w:r>
      <w:proofErr w:type="gramStart"/>
      <w:r w:rsidRPr="000B3F19">
        <w:rPr>
          <w:rFonts w:ascii="Arial" w:hAnsi="Arial" w:cs="Arial"/>
          <w:sz w:val="20"/>
          <w:szCs w:val="20"/>
        </w:rPr>
        <w:t>высокими</w:t>
      </w:r>
      <w:proofErr w:type="gramEnd"/>
      <w:r w:rsidRPr="000B3F19">
        <w:rPr>
          <w:rFonts w:ascii="Arial" w:hAnsi="Arial" w:cs="Arial"/>
          <w:sz w:val="20"/>
          <w:szCs w:val="20"/>
        </w:rPr>
        <w:t>. Произошло сокращение доли свободных площадей в офисном сегменте за счет активности государственных органов и компаний, которые, воспользовавшись ситуацией, купили либо арендовали большие объёмы офисных площадей.</w:t>
      </w:r>
    </w:p>
    <w:p w:rsidR="000B3F19" w:rsidRPr="000B3F19" w:rsidRDefault="000B3F19" w:rsidP="00C91A66">
      <w:pPr>
        <w:ind w:left="-284" w:firstLine="426"/>
        <w:jc w:val="both"/>
        <w:rPr>
          <w:rFonts w:ascii="Arial" w:hAnsi="Arial" w:cs="Arial"/>
          <w:sz w:val="20"/>
          <w:szCs w:val="20"/>
        </w:rPr>
      </w:pPr>
    </w:p>
    <w:sectPr w:rsidR="000B3F19" w:rsidRPr="000B3F19" w:rsidSect="008E1206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FC" w:rsidRDefault="00656DFC" w:rsidP="00330745">
      <w:pPr>
        <w:spacing w:after="0" w:line="240" w:lineRule="auto"/>
      </w:pPr>
      <w:r>
        <w:separator/>
      </w:r>
    </w:p>
  </w:endnote>
  <w:endnote w:type="continuationSeparator" w:id="0">
    <w:p w:rsidR="00656DFC" w:rsidRDefault="00656DFC" w:rsidP="0033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FC" w:rsidRDefault="00656DFC" w:rsidP="00330745">
      <w:pPr>
        <w:spacing w:after="0" w:line="240" w:lineRule="auto"/>
      </w:pPr>
      <w:r>
        <w:separator/>
      </w:r>
    </w:p>
  </w:footnote>
  <w:footnote w:type="continuationSeparator" w:id="0">
    <w:p w:rsidR="00656DFC" w:rsidRDefault="00656DFC" w:rsidP="00330745">
      <w:pPr>
        <w:spacing w:after="0" w:line="240" w:lineRule="auto"/>
      </w:pPr>
      <w:r>
        <w:continuationSeparator/>
      </w:r>
    </w:p>
  </w:footnote>
  <w:footnote w:id="1">
    <w:p w:rsidR="001C2FCA" w:rsidRDefault="001C2FCA" w:rsidP="00330745">
      <w:pPr>
        <w:pStyle w:val="a3"/>
      </w:pPr>
      <w:r>
        <w:rPr>
          <w:rStyle w:val="a5"/>
        </w:rPr>
        <w:footnoteRef/>
      </w:r>
      <w:r>
        <w:t xml:space="preserve"> </w:t>
      </w:r>
      <w:r w:rsidRPr="00330745">
        <w:t>https://ru.wikipedia.org/wiki/Ленинградская_область#cite_note-2017AA-1</w:t>
      </w:r>
    </w:p>
  </w:footnote>
  <w:footnote w:id="2">
    <w:p w:rsidR="001C2FCA" w:rsidRDefault="001C2FCA" w:rsidP="00496ACB">
      <w:pPr>
        <w:pStyle w:val="a3"/>
      </w:pPr>
      <w:r>
        <w:rPr>
          <w:rStyle w:val="a5"/>
        </w:rPr>
        <w:footnoteRef/>
      </w:r>
      <w:r>
        <w:t xml:space="preserve"> Областной закон "</w:t>
      </w:r>
      <w:r w:rsidRPr="00496ACB">
        <w:t>О Стратегии социально-экономического развития Ленинградской области до 2030 года</w:t>
      </w:r>
      <w:r>
        <w:t xml:space="preserve">" №76-оз от </w:t>
      </w:r>
      <w:r w:rsidRPr="00496ACB">
        <w:t>8 августа 2016 года</w:t>
      </w:r>
    </w:p>
  </w:footnote>
  <w:footnote w:id="3">
    <w:p w:rsidR="00581DF7" w:rsidRDefault="00581DF7" w:rsidP="005F6DF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81DF7">
        <w:t>http://lenobl.ru/news23242.html</w:t>
      </w:r>
      <w:r>
        <w:t xml:space="preserve"> (от 16.01.2017)</w:t>
      </w:r>
    </w:p>
  </w:footnote>
  <w:footnote w:id="4">
    <w:p w:rsidR="000570C3" w:rsidRDefault="000570C3" w:rsidP="005F6DF2">
      <w:pPr>
        <w:pStyle w:val="a3"/>
        <w:jc w:val="both"/>
      </w:pPr>
      <w:r>
        <w:rPr>
          <w:rStyle w:val="a5"/>
        </w:rPr>
        <w:footnoteRef/>
      </w:r>
      <w:r>
        <w:t xml:space="preserve"> Источник: </w:t>
      </w:r>
      <w:r w:rsidRPr="000570C3">
        <w:t>http://www.rlt24.com/primary/leningrad_oblast/</w:t>
      </w:r>
      <w:r>
        <w:t xml:space="preserve"> (от </w:t>
      </w:r>
      <w:r w:rsidRPr="000570C3">
        <w:t>17.04.2017</w:t>
      </w:r>
      <w:r>
        <w:t>)</w:t>
      </w:r>
      <w:r w:rsidR="009D344E">
        <w:t xml:space="preserve">, анализ цен предложений </w:t>
      </w:r>
      <w:proofErr w:type="gramStart"/>
      <w:r w:rsidR="009D344E">
        <w:t>интернет-порталов</w:t>
      </w:r>
      <w:proofErr w:type="gramEnd"/>
      <w:r w:rsidR="009D344E">
        <w:t xml:space="preserve"> по продаже недвижимости </w:t>
      </w:r>
      <w:r w:rsidR="009D344E" w:rsidRPr="009D344E">
        <w:t>http://www.emls.ru</w:t>
      </w:r>
      <w:r w:rsidR="009D344E">
        <w:t xml:space="preserve">, </w:t>
      </w:r>
      <w:r w:rsidR="009D344E" w:rsidRPr="009D344E">
        <w:t>http://www.restate.ru</w:t>
      </w:r>
      <w:r w:rsidR="009D344E">
        <w:t xml:space="preserve">, </w:t>
      </w:r>
      <w:r w:rsidR="009D344E" w:rsidRPr="009D344E">
        <w:t>https://spb.cian.ru</w:t>
      </w:r>
      <w:r w:rsidR="009D344E">
        <w:t xml:space="preserve">, </w:t>
      </w:r>
      <w:r w:rsidR="009D344E" w:rsidRPr="009D344E">
        <w:t>https://realty.yandex.ru</w:t>
      </w:r>
      <w:r w:rsidR="00AB2EC0">
        <w:t xml:space="preserve">, </w:t>
      </w:r>
      <w:r w:rsidR="00AB2EC0" w:rsidRPr="00AB2EC0">
        <w:t>http://www.novostroy.su</w:t>
      </w:r>
      <w:r w:rsidR="00AB2EC0">
        <w:t xml:space="preserve"> </w:t>
      </w:r>
      <w:r w:rsidR="009D344E">
        <w:t>и др.</w:t>
      </w:r>
    </w:p>
  </w:footnote>
  <w:footnote w:id="5">
    <w:p w:rsidR="00FA2A15" w:rsidRDefault="00FA2A15" w:rsidP="005F6DF2">
      <w:pPr>
        <w:pStyle w:val="a3"/>
        <w:jc w:val="both"/>
      </w:pPr>
      <w:r>
        <w:rPr>
          <w:rStyle w:val="a5"/>
        </w:rPr>
        <w:footnoteRef/>
      </w:r>
      <w:r>
        <w:t xml:space="preserve"> Источник: Анализ цен предложений интернет-порталов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продаж</w:t>
      </w:r>
      <w:proofErr w:type="gramEnd"/>
      <w:r>
        <w:t xml:space="preserve"> недвижимости</w:t>
      </w:r>
      <w:r w:rsidRPr="00FA2A15">
        <w:t xml:space="preserve"> </w:t>
      </w:r>
      <w:r w:rsidRPr="00FA2A15">
        <w:rPr>
          <w:rFonts w:ascii="Calibri" w:eastAsia="Calibri" w:hAnsi="Calibri" w:cs="Times New Roman"/>
        </w:rPr>
        <w:t>http://www.zemvopros.ru</w:t>
      </w:r>
      <w:r>
        <w:t xml:space="preserve">, </w:t>
      </w:r>
      <w:r w:rsidRPr="00FA2A15">
        <w:t>http://spb.cian.ru</w:t>
      </w:r>
      <w:r>
        <w:t>, http://biz-sale.ru и др.</w:t>
      </w:r>
    </w:p>
  </w:footnote>
  <w:footnote w:id="6">
    <w:p w:rsidR="00FA2A15" w:rsidRDefault="00FA2A15" w:rsidP="005F6DF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A2A15">
        <w:t>http://afkgroup.com/analitika-i-metodiki/post-737/</w:t>
      </w:r>
    </w:p>
  </w:footnote>
  <w:footnote w:id="7">
    <w:p w:rsidR="00FA2A15" w:rsidRDefault="00FA2A15" w:rsidP="005F6DF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A2A15">
        <w:t>http://www.dglo.ru/news/2015-08-24/utsenennyey-i-pereotsenennyey-selkhozzemli-lenoblasti/</w:t>
      </w:r>
    </w:p>
  </w:footnote>
  <w:footnote w:id="8">
    <w:p w:rsidR="00F55235" w:rsidRDefault="00F55235" w:rsidP="005F6DF2">
      <w:pPr>
        <w:pStyle w:val="a3"/>
        <w:jc w:val="both"/>
      </w:pPr>
      <w:r>
        <w:rPr>
          <w:rStyle w:val="a5"/>
        </w:rPr>
        <w:footnoteRef/>
      </w:r>
      <w:r>
        <w:t xml:space="preserve"> Анализ цен предложений интернет-порталов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продаж</w:t>
      </w:r>
      <w:proofErr w:type="gramEnd"/>
      <w:r>
        <w:t xml:space="preserve"> недвижимости </w:t>
      </w:r>
      <w:r w:rsidRPr="00F55235">
        <w:t>http://spb.cian.ru</w:t>
      </w:r>
      <w:r>
        <w:t xml:space="preserve">, </w:t>
      </w:r>
      <w:r w:rsidR="005F6DF2" w:rsidRPr="005F6DF2">
        <w:t>http://www.zemvopros.ru</w:t>
      </w:r>
      <w:r w:rsidR="005F6DF2">
        <w:t xml:space="preserve">, </w:t>
      </w:r>
      <w:r w:rsidR="005F6DF2" w:rsidRPr="005F6DF2">
        <w:t>http://len-obl.mtk.ru</w:t>
      </w:r>
      <w:r w:rsidR="005F6DF2">
        <w:t xml:space="preserve">, </w:t>
      </w:r>
      <w:r w:rsidR="005F6DF2" w:rsidRPr="005F6DF2">
        <w:t>http://nedvizhimost.mitula.ru</w:t>
      </w:r>
      <w:r w:rsidR="005F6DF2">
        <w:t xml:space="preserve">, </w:t>
      </w:r>
      <w:r w:rsidR="005F6DF2" w:rsidRPr="005F6DF2">
        <w:t>http://iburg.ru</w:t>
      </w:r>
      <w:r w:rsidR="005F6DF2">
        <w:t xml:space="preserve">, </w:t>
      </w:r>
      <w:r w:rsidR="005F6DF2" w:rsidRPr="005F6DF2">
        <w:t>http://vsevned.ru/zemelnyie_uchastki</w:t>
      </w:r>
      <w:r w:rsidR="005F6DF2">
        <w:t xml:space="preserve"> и др.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346"/>
    <w:multiLevelType w:val="hybridMultilevel"/>
    <w:tmpl w:val="D1846BB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86F7E58"/>
    <w:multiLevelType w:val="hybridMultilevel"/>
    <w:tmpl w:val="89ECB056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>
    <w:nsid w:val="29FB4A95"/>
    <w:multiLevelType w:val="hybridMultilevel"/>
    <w:tmpl w:val="D5D4AF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B14FB"/>
    <w:multiLevelType w:val="hybridMultilevel"/>
    <w:tmpl w:val="3716924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745"/>
    <w:rsid w:val="000570C3"/>
    <w:rsid w:val="00095F12"/>
    <w:rsid w:val="000B3F19"/>
    <w:rsid w:val="001C2FCA"/>
    <w:rsid w:val="00330745"/>
    <w:rsid w:val="00496ACB"/>
    <w:rsid w:val="004B4D58"/>
    <w:rsid w:val="00581DF7"/>
    <w:rsid w:val="005F6DF2"/>
    <w:rsid w:val="00656DFC"/>
    <w:rsid w:val="00705051"/>
    <w:rsid w:val="00886AB2"/>
    <w:rsid w:val="008E1206"/>
    <w:rsid w:val="00913D61"/>
    <w:rsid w:val="009D193D"/>
    <w:rsid w:val="009D344E"/>
    <w:rsid w:val="00A27FF3"/>
    <w:rsid w:val="00A508ED"/>
    <w:rsid w:val="00AB2EC0"/>
    <w:rsid w:val="00C91A66"/>
    <w:rsid w:val="00D21F92"/>
    <w:rsid w:val="00F35CE3"/>
    <w:rsid w:val="00F55235"/>
    <w:rsid w:val="00F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07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07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0745"/>
    <w:rPr>
      <w:vertAlign w:val="superscript"/>
    </w:rPr>
  </w:style>
  <w:style w:type="paragraph" w:styleId="a6">
    <w:name w:val="List Paragraph"/>
    <w:basedOn w:val="a"/>
    <w:uiPriority w:val="34"/>
    <w:qFormat/>
    <w:rsid w:val="00496A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8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DF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8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05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57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81584-2B54-4E89-905A-CC04BDEA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Netbook</cp:lastModifiedBy>
  <cp:revision>6</cp:revision>
  <dcterms:created xsi:type="dcterms:W3CDTF">2017-04-19T17:23:00Z</dcterms:created>
  <dcterms:modified xsi:type="dcterms:W3CDTF">2017-04-21T13:26:00Z</dcterms:modified>
</cp:coreProperties>
</file>