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E4781C" w:rsidRPr="00E4781C" w:rsidRDefault="00E4781C" w:rsidP="00E4781C">
      <w:pPr>
        <w:pStyle w:val="1"/>
        <w:spacing w:before="0" w:line="240" w:lineRule="auto"/>
        <w:contextualSpacing/>
        <w:jc w:val="center"/>
      </w:pPr>
      <w:r w:rsidRPr="00E4781C">
        <w:t>Анализ влияния общей политической и социально-экономической обстановки на рынок недвижимости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Важнейшими условиями развития национальной экономики, включая рынок недвижимости, являются прочность государства, стабильность законодательства, защита права собственности и развитая экономическая инфраструктура (доступные финансовые, трудовые и сырьевые ресурсы, стимулирующее налогообложение, свободная и справедливая конкуренция).</w:t>
      </w:r>
    </w:p>
    <w:p w:rsidR="00057990" w:rsidRPr="00057990" w:rsidRDefault="00057990" w:rsidP="00E4781C">
      <w:pPr>
        <w:spacing w:before="240" w:after="0" w:line="240" w:lineRule="auto"/>
        <w:ind w:firstLine="284"/>
        <w:jc w:val="center"/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  <w:t>Основные политические события, влияющие на экономику России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Глобализация мировой экономики, являющаяся следствием развития международных финансовых и промышленных корпораций, на фоне появления современных информационных технологий порождает геополитические процессы, стремительно меняющие политическую и экономическую картину мира, создает новые условия, в которых Россия, как государство, как сложившаяся цивилизация со своей культурой, языком и традициями стремится сохранить и упрочить свое положение:</w:t>
      </w:r>
    </w:p>
    <w:p w:rsidR="00057990" w:rsidRPr="00057990" w:rsidRDefault="00057990" w:rsidP="00E4781C">
      <w:pPr>
        <w:numPr>
          <w:ilvl w:val="1"/>
          <w:numId w:val="3"/>
        </w:numPr>
        <w:spacing w:after="0" w:line="240" w:lineRule="auto"/>
        <w:ind w:left="284" w:hanging="251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Создание пояса напряженности в Азии и Европе, террористических исламистских формирований в Ираке, Афганистане и на территории дружественной России Сирии, смена управляющих элит в этих странах, развертывание военных баз НАТО в странах, граничащих с Россией, угрожают её безопасности и препятствуют экономическому развитию. В таких условиях, учитывая уроки прошлого, Россия вынуждена нести затраты на поддержание и развитие оборонного потенциала; </w:t>
      </w:r>
    </w:p>
    <w:p w:rsidR="00057990" w:rsidRPr="00057990" w:rsidRDefault="00057990" w:rsidP="00E4781C">
      <w:pPr>
        <w:numPr>
          <w:ilvl w:val="1"/>
          <w:numId w:val="3"/>
        </w:numPr>
        <w:spacing w:after="0" w:line="240" w:lineRule="auto"/>
        <w:ind w:left="284" w:hanging="251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Вхождение Крыма в состав Российской Федерации и поддержка Россией русскоязычных Донецкой и Луганской областей после госпереворота в Украине в феврале 2014 года стали поводом для введения экономических санкций стран США и Западной Европы в отношении России с целью ограничения её экономического и политического развития;</w:t>
      </w:r>
    </w:p>
    <w:p w:rsidR="00057990" w:rsidRPr="00057990" w:rsidRDefault="00057990" w:rsidP="00E4781C">
      <w:pPr>
        <w:numPr>
          <w:ilvl w:val="1"/>
          <w:numId w:val="3"/>
        </w:numPr>
        <w:spacing w:after="0" w:line="240" w:lineRule="auto"/>
        <w:ind w:left="284" w:hanging="251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Вступление в войну против разрастающегося исламизма в Сирии и подавление его основных сил позволяют России отстаивать экономические и политические интересы на Ближнем Востоке и препятствовать разрастанию хаоса в своем южном приграничье. Кроме того, это - противодействие Западу в его попытке безраздельного мирового экономического и политического господства в ущерб другим странам и, в частности, России, а также - проверка в боевых условиях и демонстрация эффективности российского оружия;</w:t>
      </w:r>
    </w:p>
    <w:p w:rsidR="00057990" w:rsidRPr="00057990" w:rsidRDefault="00057990" w:rsidP="00E4781C">
      <w:pPr>
        <w:numPr>
          <w:ilvl w:val="1"/>
          <w:numId w:val="3"/>
        </w:numPr>
        <w:spacing w:after="0" w:line="240" w:lineRule="auto"/>
        <w:ind w:left="284" w:hanging="251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отношениях с приграничной Турцией, резко ухудшившихся после сбитого турками в ноябре 2015 года российского самолета, наметились улучшения. Турецкий президент принес извинения России и выразил готовность компенсировать нанесенный ущерб. Российская сторона согласилась начать процесс нормализации взаимных отношений. Однако не всем в Турции и в мире </w:t>
      </w:r>
      <w:proofErr w:type="gramStart"/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понравилось такое изменение курса турецкого президента и 15.07.2016 года там произошла</w:t>
      </w:r>
      <w:proofErr w:type="gramEnd"/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попытка госпереворота. Эти события привели к изменению политического курса турецкого руководства в отношении нашей страны. В настоящее время готовятся документы о зоне свободной торговли между двумя странами и среднесрочная программа экономического и научно-технического сотрудничества;</w:t>
      </w:r>
    </w:p>
    <w:p w:rsidR="00057990" w:rsidRPr="00057990" w:rsidRDefault="00057990" w:rsidP="00E4781C">
      <w:pPr>
        <w:numPr>
          <w:ilvl w:val="1"/>
          <w:numId w:val="3"/>
        </w:numPr>
        <w:spacing w:after="0" w:line="240" w:lineRule="auto"/>
        <w:ind w:left="284" w:hanging="251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Четырехкратное обрушение мировых цен на нефть и значительное падение цен на другие сырьевые ресурсы (газ, алюминий, никель, цинк и др.), начавшиеся с середины 2014 года, значительно сократили доходы российского бюджета, а санкции Запада под давлением США ограничили доступ к западному капиталу. Это побуждает Россию к развитию политических и экономических связей с другими странами: Китаем, Индией, Ираном, Бразилией, ЮАР, Венесуэлой и другими, а также восстанавливать и углублять взаимоотношения со странами – бывшими советскими республиками. Предпринимаются шаги по созданию финансовых механизмов, которые позволили бы снизить роль западных валют в международных расчетах России и снизить финансовую зависимость от Запада;</w:t>
      </w:r>
    </w:p>
    <w:p w:rsidR="00057990" w:rsidRPr="00057990" w:rsidRDefault="00057990" w:rsidP="00E4781C">
      <w:pPr>
        <w:numPr>
          <w:ilvl w:val="1"/>
          <w:numId w:val="3"/>
        </w:numPr>
        <w:spacing w:after="0" w:line="240" w:lineRule="auto"/>
        <w:ind w:left="284" w:hanging="251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Давление США на Россию проявилось в провокации с крушением малазийского пассажирского самолета на границе с Россией и в так называемом «допинговом скандале» в ходе летней олимпиады в Бразилии, цель которых – влиять на Россию, </w:t>
      </w:r>
      <w:proofErr w:type="gramStart"/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создавая отрицательный политический и экономический</w:t>
      </w:r>
      <w:proofErr w:type="gramEnd"/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имидж;</w:t>
      </w:r>
    </w:p>
    <w:p w:rsidR="00057990" w:rsidRPr="00057990" w:rsidRDefault="00057990" w:rsidP="00E4781C">
      <w:pPr>
        <w:numPr>
          <w:ilvl w:val="1"/>
          <w:numId w:val="3"/>
        </w:numPr>
        <w:spacing w:after="0" w:line="240" w:lineRule="auto"/>
        <w:ind w:left="284" w:hanging="251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На втором Восточном экономическом форуме во Владивостоке 2 – 3 сентября 2016 года подписан ряд важнейших документов о развитии российско-корейских отношений в области торговли, промышленности и энергетики, достигнуты предварительные договоренности о развитии российско-японских отношений и о создании энергетического кольца (Россия, Япония, Китай, Южная Корея). Диалог мировых лидеров по вопросам строительства инновационной, здоровой, взаимосвязанной и инклюзивной мировой экономики продолжен на саммите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  <w:lang w:val="en-US"/>
        </w:rPr>
        <w:t>G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20 в китайском Ханчжоу 4 - 5 сентября. Проведены многосторонние и двухсторонние переговоры с участием России по вопросам преодоления политических и экономических разногласий. </w:t>
      </w:r>
    </w:p>
    <w:p w:rsidR="00057990" w:rsidRPr="00057990" w:rsidRDefault="00057990" w:rsidP="00E4781C">
      <w:pPr>
        <w:numPr>
          <w:ilvl w:val="1"/>
          <w:numId w:val="3"/>
        </w:numPr>
        <w:spacing w:after="0" w:line="240" w:lineRule="auto"/>
        <w:ind w:left="284" w:hanging="251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Важным внутриполитическим событием страны стали прошедшие 18 сентября выборы в представительные органы. Значительное большинство мест в Государственной думе сохранится за представителями партии «Единая Россия», поддерживающей президента. Это сохранит политическую и экономическую стабильность в обществе. </w:t>
      </w:r>
    </w:p>
    <w:p w:rsidR="00057990" w:rsidRPr="00E4781C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Таким образом, несмотря на сильнейшее давление </w:t>
      </w:r>
      <w:proofErr w:type="gramStart"/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США</w:t>
      </w:r>
      <w:proofErr w:type="gramEnd"/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 Западной Европы, России удается отстаивать свои интересы и укреплять свое влияние в мире, что положительно отразится и на экономическом развитии страны. </w:t>
      </w:r>
    </w:p>
    <w:p w:rsidR="00E4781C" w:rsidRDefault="00E4781C" w:rsidP="00E4781C">
      <w:pPr>
        <w:spacing w:before="240" w:after="0" w:line="240" w:lineRule="auto"/>
        <w:ind w:firstLine="284"/>
        <w:jc w:val="center"/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  <w:sectPr w:rsidR="00E4781C" w:rsidSect="00057990">
          <w:pgSz w:w="11906" w:h="16838"/>
          <w:pgMar w:top="426" w:right="566" w:bottom="567" w:left="1134" w:header="708" w:footer="708" w:gutter="0"/>
          <w:cols w:space="708"/>
          <w:docGrid w:linePitch="360"/>
        </w:sectPr>
      </w:pPr>
    </w:p>
    <w:p w:rsidR="00057990" w:rsidRPr="00057990" w:rsidRDefault="00057990" w:rsidP="00E4781C">
      <w:pPr>
        <w:spacing w:before="240" w:after="0" w:line="240" w:lineRule="auto"/>
        <w:ind w:firstLine="284"/>
        <w:jc w:val="center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  <w:lastRenderedPageBreak/>
        <w:t>Состояние экономики и основные экономические показатели России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По данным Минэкономразвития России и Росстата на 01.10.2016 года: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center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noProof/>
          <w:color w:val="1A1A1A" w:themeColor="background1" w:themeShade="1A"/>
          <w:sz w:val="20"/>
          <w:szCs w:val="20"/>
          <w:lang w:eastAsia="ru-RU"/>
        </w:rPr>
        <w:drawing>
          <wp:inline distT="0" distB="0" distL="0" distR="0" wp14:anchorId="037AD6C7" wp14:editId="1A8E54EE">
            <wp:extent cx="5151120" cy="5688110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218" t="12673" r="29043" b="11821"/>
                    <a:stretch/>
                  </pic:blipFill>
                  <pic:spPr bwMode="auto">
                    <a:xfrm>
                      <a:off x="0" y="0"/>
                      <a:ext cx="5155684" cy="569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</w:p>
    <w:p w:rsidR="00057990" w:rsidRPr="00057990" w:rsidRDefault="00057990" w:rsidP="00E4781C">
      <w:pPr>
        <w:spacing w:after="0" w:line="240" w:lineRule="auto"/>
        <w:ind w:firstLine="284"/>
        <w:contextualSpacing/>
        <w:jc w:val="center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noProof/>
          <w:color w:val="1A1A1A" w:themeColor="background1" w:themeShade="1A"/>
          <w:sz w:val="20"/>
          <w:szCs w:val="20"/>
          <w:lang w:eastAsia="ru-RU"/>
        </w:rPr>
        <w:drawing>
          <wp:inline distT="0" distB="0" distL="0" distR="0" wp14:anchorId="615CF09F" wp14:editId="4587EC83">
            <wp:extent cx="5122713" cy="2672080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792" t="30097" r="21947" b="22117"/>
                    <a:stretch/>
                  </pic:blipFill>
                  <pic:spPr bwMode="auto">
                    <a:xfrm>
                      <a:off x="0" y="0"/>
                      <a:ext cx="5118754" cy="2670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</w:p>
    <w:p w:rsidR="00057990" w:rsidRPr="00057990" w:rsidRDefault="00057990" w:rsidP="00E4781C">
      <w:pPr>
        <w:spacing w:after="0" w:line="240" w:lineRule="auto"/>
        <w:ind w:firstLine="284"/>
        <w:contextualSpacing/>
        <w:jc w:val="center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noProof/>
          <w:color w:val="1A1A1A" w:themeColor="background1" w:themeShade="1A"/>
          <w:sz w:val="20"/>
          <w:szCs w:val="20"/>
          <w:lang w:eastAsia="ru-RU"/>
        </w:rPr>
        <w:lastRenderedPageBreak/>
        <w:drawing>
          <wp:inline distT="0" distB="0" distL="0" distR="0" wp14:anchorId="0A8934E3" wp14:editId="4CBE8D08">
            <wp:extent cx="4998720" cy="2757914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743" t="40394" r="26402" b="17365"/>
                    <a:stretch/>
                  </pic:blipFill>
                  <pic:spPr bwMode="auto">
                    <a:xfrm>
                      <a:off x="0" y="0"/>
                      <a:ext cx="4993853" cy="2755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center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noProof/>
          <w:color w:val="1A1A1A" w:themeColor="background1" w:themeShade="1A"/>
          <w:sz w:val="20"/>
          <w:szCs w:val="20"/>
          <w:lang w:eastAsia="ru-RU"/>
        </w:rPr>
        <w:drawing>
          <wp:inline distT="0" distB="0" distL="0" distR="0" wp14:anchorId="453537F5" wp14:editId="25B099DB">
            <wp:extent cx="4954456" cy="26822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0231" t="25609" r="41914" b="32942"/>
                    <a:stretch/>
                  </pic:blipFill>
                  <pic:spPr bwMode="auto">
                    <a:xfrm>
                      <a:off x="0" y="0"/>
                      <a:ext cx="4969316" cy="2690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center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noProof/>
          <w:color w:val="1A1A1A" w:themeColor="background1" w:themeShade="1A"/>
          <w:sz w:val="20"/>
          <w:szCs w:val="20"/>
          <w:lang w:eastAsia="ru-RU"/>
        </w:rPr>
        <w:drawing>
          <wp:inline distT="0" distB="0" distL="0" distR="0" wp14:anchorId="030B36F6" wp14:editId="60482B05">
            <wp:extent cx="4927209" cy="3761117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426" t="17689" r="40099" b="13669"/>
                    <a:stretch/>
                  </pic:blipFill>
                  <pic:spPr bwMode="auto">
                    <a:xfrm>
                      <a:off x="0" y="0"/>
                      <a:ext cx="4937146" cy="3768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</w:p>
    <w:p w:rsidR="00057990" w:rsidRPr="00057990" w:rsidRDefault="00057990" w:rsidP="00E4781C">
      <w:pPr>
        <w:spacing w:after="0" w:line="240" w:lineRule="auto"/>
        <w:ind w:firstLine="284"/>
        <w:contextualSpacing/>
        <w:jc w:val="center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noProof/>
          <w:color w:val="1A1A1A" w:themeColor="background1" w:themeShade="1A"/>
          <w:sz w:val="20"/>
          <w:szCs w:val="20"/>
          <w:lang w:eastAsia="ru-RU"/>
        </w:rPr>
        <w:lastRenderedPageBreak/>
        <w:drawing>
          <wp:inline distT="0" distB="0" distL="0" distR="0" wp14:anchorId="4BA74CBD" wp14:editId="6C37CB0B">
            <wp:extent cx="5352005" cy="2915920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9901" t="33529" r="42244" b="24757"/>
                    <a:stretch/>
                  </pic:blipFill>
                  <pic:spPr bwMode="auto">
                    <a:xfrm>
                      <a:off x="0" y="0"/>
                      <a:ext cx="5352539" cy="2916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</w:p>
    <w:p w:rsidR="00057990" w:rsidRPr="00057990" w:rsidRDefault="00057990" w:rsidP="00E4781C">
      <w:pPr>
        <w:spacing w:after="0" w:line="240" w:lineRule="auto"/>
        <w:ind w:firstLine="284"/>
        <w:contextualSpacing/>
        <w:jc w:val="center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noProof/>
          <w:color w:val="1A1A1A" w:themeColor="background1" w:themeShade="1A"/>
          <w:sz w:val="20"/>
          <w:szCs w:val="20"/>
          <w:lang w:eastAsia="ru-RU"/>
        </w:rPr>
        <w:drawing>
          <wp:inline distT="0" distB="0" distL="0" distR="0" wp14:anchorId="337563C7" wp14:editId="398189A8">
            <wp:extent cx="5344160" cy="2962916"/>
            <wp:effectExtent l="0" t="0" r="889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736" t="31681" r="41749" b="25285"/>
                    <a:stretch/>
                  </pic:blipFill>
                  <pic:spPr bwMode="auto">
                    <a:xfrm>
                      <a:off x="0" y="0"/>
                      <a:ext cx="5343004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</w:p>
    <w:p w:rsidR="00057990" w:rsidRPr="00057990" w:rsidRDefault="00057990" w:rsidP="00E4781C">
      <w:pPr>
        <w:spacing w:after="0" w:line="240" w:lineRule="auto"/>
        <w:ind w:firstLine="284"/>
        <w:contextualSpacing/>
        <w:jc w:val="center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noProof/>
          <w:color w:val="1A1A1A" w:themeColor="background1" w:themeShade="1A"/>
          <w:sz w:val="20"/>
          <w:szCs w:val="20"/>
          <w:lang w:eastAsia="ru-RU"/>
        </w:rPr>
        <w:drawing>
          <wp:inline distT="0" distB="0" distL="0" distR="0" wp14:anchorId="398ACCFF" wp14:editId="1CE719BF">
            <wp:extent cx="5371637" cy="2885440"/>
            <wp:effectExtent l="133350" t="114300" r="153035" b="16256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9406" t="20593" r="41750" b="37429"/>
                    <a:stretch/>
                  </pic:blipFill>
                  <pic:spPr bwMode="auto">
                    <a:xfrm>
                      <a:off x="0" y="0"/>
                      <a:ext cx="5374040" cy="28867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center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noProof/>
          <w:color w:val="1A1A1A" w:themeColor="background1" w:themeShade="1A"/>
          <w:sz w:val="20"/>
          <w:szCs w:val="20"/>
          <w:lang w:eastAsia="ru-RU"/>
        </w:rPr>
        <w:lastRenderedPageBreak/>
        <w:drawing>
          <wp:inline distT="0" distB="0" distL="0" distR="0" wp14:anchorId="68D37652" wp14:editId="136F2200">
            <wp:extent cx="5167223" cy="2736656"/>
            <wp:effectExtent l="0" t="0" r="0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9571" t="44090" r="42574" b="13669"/>
                    <a:stretch/>
                  </pic:blipFill>
                  <pic:spPr bwMode="auto">
                    <a:xfrm>
                      <a:off x="0" y="0"/>
                      <a:ext cx="5172614" cy="2739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Объем строительно-монтажных работ в августе 2016г. составил 559,8 </w:t>
      </w:r>
      <w:proofErr w:type="spellStart"/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млрд</w:t>
      </w:r>
      <w:proofErr w:type="gramStart"/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.р</w:t>
      </w:r>
      <w:proofErr w:type="gramEnd"/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ублей</w:t>
      </w:r>
      <w:proofErr w:type="spellEnd"/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, или 98,0% (в сопоставимых ценах) к уровню соответствующего периода предыдущего года, в январе-августе 2016г. - 3391,0 млрд. рублей, или 95,4%. 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center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noProof/>
          <w:color w:val="1A1A1A" w:themeColor="background1" w:themeShade="1A"/>
          <w:sz w:val="20"/>
          <w:szCs w:val="20"/>
          <w:lang w:eastAsia="ru-RU"/>
        </w:rPr>
        <w:drawing>
          <wp:inline distT="0" distB="0" distL="0" distR="0" wp14:anchorId="2978174B" wp14:editId="7F22620C">
            <wp:extent cx="5346247" cy="2656935"/>
            <wp:effectExtent l="0" t="0" r="698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9208" t="31561" r="29868" b="32942"/>
                    <a:stretch/>
                  </pic:blipFill>
                  <pic:spPr bwMode="auto">
                    <a:xfrm>
                      <a:off x="0" y="0"/>
                      <a:ext cx="5348602" cy="2658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center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noProof/>
          <w:color w:val="1A1A1A" w:themeColor="background1" w:themeShade="1A"/>
          <w:sz w:val="20"/>
          <w:szCs w:val="20"/>
          <w:lang w:eastAsia="ru-RU"/>
        </w:rPr>
        <w:drawing>
          <wp:inline distT="0" distB="0" distL="0" distR="0" wp14:anchorId="65186356" wp14:editId="73A7D98B">
            <wp:extent cx="5384044" cy="2968599"/>
            <wp:effectExtent l="0" t="0" r="7620" b="381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5412" t="29041" r="26403" b="28453"/>
                    <a:stretch/>
                  </pic:blipFill>
                  <pic:spPr bwMode="auto">
                    <a:xfrm>
                      <a:off x="0" y="0"/>
                      <a:ext cx="5380156" cy="2966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В августе 2016г. построено 81,3 тыс. новых квартир, в январе-августе 2016г. - 602,8 тыс. квартир, Индивидуальными застройщиками за январь – август  построено 18,7 млн. кв. метров общей площади жилых домов или 43,6% от общего объема жилья. Всего введено 42,8 млн. кв. м. (94,2% к аналогичному периоду прошлого года).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center"/>
        <w:rPr>
          <w:rFonts w:ascii="Arial" w:hAnsi="Arial" w:cs="Arial"/>
          <w:b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noProof/>
          <w:color w:val="1A1A1A" w:themeColor="background1" w:themeShade="1A"/>
          <w:sz w:val="20"/>
          <w:szCs w:val="20"/>
          <w:lang w:eastAsia="ru-RU"/>
        </w:rPr>
        <w:lastRenderedPageBreak/>
        <w:drawing>
          <wp:inline distT="0" distB="0" distL="0" distR="0" wp14:anchorId="09519AA4" wp14:editId="1AA643D9">
            <wp:extent cx="5296382" cy="2895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9902" t="38809" r="42409" b="19478"/>
                    <a:stretch/>
                  </pic:blipFill>
                  <pic:spPr bwMode="auto">
                    <a:xfrm>
                      <a:off x="0" y="0"/>
                      <a:ext cx="5292558" cy="2893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  <w:t>Индекс предпринимательской уверенности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в сентябре 2016г. по сравнению с декабрем 2015г. повысился в добывающих производствах с (-5%) до (-1%), в обрабатывающих производствах - с (-11%) до (-5%), в производстве и распределении электроэнергии, газа и воды - с (2%) </w:t>
      </w:r>
      <w:proofErr w:type="gramStart"/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до</w:t>
      </w:r>
      <w:proofErr w:type="gramEnd"/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(6%). 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</w:p>
    <w:p w:rsidR="00057990" w:rsidRPr="00057990" w:rsidRDefault="00057990" w:rsidP="00E4781C">
      <w:pPr>
        <w:spacing w:after="0" w:line="240" w:lineRule="auto"/>
        <w:ind w:firstLine="284"/>
        <w:contextualSpacing/>
        <w:jc w:val="center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noProof/>
          <w:color w:val="1A1A1A" w:themeColor="background1" w:themeShade="1A"/>
          <w:sz w:val="20"/>
          <w:szCs w:val="20"/>
          <w:lang w:eastAsia="ru-RU"/>
        </w:rPr>
        <w:drawing>
          <wp:inline distT="0" distB="0" distL="0" distR="0" wp14:anchorId="77858D22" wp14:editId="59843F1F">
            <wp:extent cx="4910666" cy="2277714"/>
            <wp:effectExtent l="0" t="0" r="444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1582" t="35873" r="22014" b="22272"/>
                    <a:stretch/>
                  </pic:blipFill>
                  <pic:spPr bwMode="auto">
                    <a:xfrm>
                      <a:off x="0" y="0"/>
                      <a:ext cx="4940421" cy="2291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proofErr w:type="gramStart"/>
      <w:r w:rsidRPr="00057990"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  <w:t>Средний уровень загрузки производственных мощностей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, по оценке опрошенных руководителей, в сентябре 2016г. составил 64%. 91% респондентов считают, что их производственные мощности обеспечат</w:t>
      </w:r>
      <w:r w:rsidRPr="00057990"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  <w:t> 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удовлетворение ожидаемого в ближайшие 6 месяцев спроса на продукцию, из них 12% указывают на избыточность имеющихся мощностей.</w:t>
      </w:r>
      <w:proofErr w:type="gramEnd"/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</w:p>
    <w:p w:rsidR="00057990" w:rsidRPr="00057990" w:rsidRDefault="00057990" w:rsidP="00E4781C">
      <w:pPr>
        <w:spacing w:after="0" w:line="240" w:lineRule="auto"/>
        <w:ind w:firstLine="284"/>
        <w:contextualSpacing/>
        <w:jc w:val="center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noProof/>
          <w:color w:val="1A1A1A" w:themeColor="background1" w:themeShade="1A"/>
          <w:sz w:val="20"/>
          <w:szCs w:val="20"/>
          <w:lang w:eastAsia="ru-RU"/>
        </w:rPr>
        <w:drawing>
          <wp:inline distT="0" distB="0" distL="0" distR="0" wp14:anchorId="41766626" wp14:editId="76398A21">
            <wp:extent cx="4876800" cy="2321271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2302" t="25322" r="22742" b="32827"/>
                    <a:stretch/>
                  </pic:blipFill>
                  <pic:spPr bwMode="auto">
                    <a:xfrm>
                      <a:off x="0" y="0"/>
                      <a:ext cx="4898275" cy="2331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/>
          <w:color w:val="1A1A1A" w:themeColor="background1" w:themeShade="1A"/>
          <w:sz w:val="20"/>
          <w:szCs w:val="20"/>
        </w:rPr>
        <w:t>Инвестиции в основной капитал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в августе 2016 года составили 5302,7 </w:t>
      </w:r>
      <w:proofErr w:type="spellStart"/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млрд</w:t>
      </w:r>
      <w:proofErr w:type="gramStart"/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.р</w:t>
      </w:r>
      <w:proofErr w:type="gramEnd"/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ублей</w:t>
      </w:r>
      <w:proofErr w:type="spellEnd"/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(95,7% м/м 2015г и  92,7% м/м 2014 года.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Среднемесячная начисленная номинальная </w:t>
      </w:r>
      <w:r w:rsidRPr="00057990">
        <w:rPr>
          <w:rFonts w:ascii="Arial" w:hAnsi="Arial" w:cs="Arial"/>
          <w:b/>
          <w:color w:val="1A1A1A" w:themeColor="background1" w:themeShade="1A"/>
          <w:sz w:val="20"/>
          <w:szCs w:val="20"/>
        </w:rPr>
        <w:t>заработная плата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работников организаций за период январь – август к аналогичному периоду прошлого года возросла на 7,3 %, реальная - снизилась  на 0,3 %. Реальные располагаемые </w:t>
      </w:r>
      <w:r w:rsidRPr="00057990">
        <w:rPr>
          <w:rFonts w:ascii="Arial" w:hAnsi="Arial" w:cs="Arial"/>
          <w:b/>
          <w:color w:val="1A1A1A" w:themeColor="background1" w:themeShade="1A"/>
          <w:sz w:val="20"/>
          <w:szCs w:val="20"/>
        </w:rPr>
        <w:t>денежные доходы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снизились на 5,8 %.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/>
          <w:color w:val="1A1A1A" w:themeColor="background1" w:themeShade="1A"/>
          <w:sz w:val="20"/>
          <w:szCs w:val="20"/>
        </w:rPr>
        <w:t xml:space="preserve">Инфляция, 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по данным ЦБ РФ, по итогам августа</w:t>
      </w:r>
      <w:r w:rsidRPr="00057990">
        <w:rPr>
          <w:rFonts w:ascii="Arial" w:hAnsi="Arial" w:cs="Arial"/>
          <w:b/>
          <w:color w:val="1A1A1A" w:themeColor="background1" w:themeShade="1A"/>
          <w:sz w:val="20"/>
          <w:szCs w:val="20"/>
        </w:rPr>
        <w:t xml:space="preserve"> 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с начала 2016 года составила 6,9% (сентябрь 2015г.- 10,4%). 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bookmarkStart w:id="0" w:name="_GoBack"/>
      <w:r w:rsidRPr="00057990">
        <w:rPr>
          <w:rFonts w:ascii="Arial" w:hAnsi="Arial" w:cs="Arial"/>
          <w:b/>
          <w:color w:val="1A1A1A" w:themeColor="background1" w:themeShade="1A"/>
          <w:sz w:val="20"/>
          <w:szCs w:val="20"/>
        </w:rPr>
        <w:lastRenderedPageBreak/>
        <w:t>Ключевая ставка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</w:t>
      </w:r>
      <w:bookmarkEnd w:id="0"/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с 19.09.2016 года составляет 10 %.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Задолженность по полученным </w:t>
      </w:r>
      <w:r w:rsidRPr="00057990">
        <w:rPr>
          <w:rFonts w:ascii="Arial" w:hAnsi="Arial" w:cs="Arial"/>
          <w:b/>
          <w:color w:val="1A1A1A" w:themeColor="background1" w:themeShade="1A"/>
          <w:sz w:val="20"/>
          <w:szCs w:val="20"/>
        </w:rPr>
        <w:t>кредитам банков и займам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в целом по России на конец июля 2016г., по оперативным данным, составила 49429,3 млрд. рублей, в том числе просроченная - 329,5 млрд. рублей, или 0,7% от общего объема задолженности по полученным кредитам банков и займам (на конец июля 2015г. - 0,7%).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Дефицит консолидированного </w:t>
      </w:r>
      <w:r w:rsidRPr="00057990">
        <w:rPr>
          <w:rFonts w:ascii="Arial" w:hAnsi="Arial" w:cs="Arial"/>
          <w:b/>
          <w:color w:val="1A1A1A" w:themeColor="background1" w:themeShade="1A"/>
          <w:sz w:val="20"/>
          <w:szCs w:val="20"/>
        </w:rPr>
        <w:t>федерального бюджета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за период январь – июль 2016 года составил  - 851,3 </w:t>
      </w:r>
      <w:proofErr w:type="spellStart"/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млрд</w:t>
      </w:r>
      <w:proofErr w:type="gramStart"/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.р</w:t>
      </w:r>
      <w:proofErr w:type="gramEnd"/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уб</w:t>
      </w:r>
      <w:proofErr w:type="spellEnd"/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.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По состоянию на 23 сентября с начала года </w:t>
      </w:r>
      <w:r w:rsidRPr="00057990">
        <w:rPr>
          <w:rFonts w:ascii="Arial" w:hAnsi="Arial" w:cs="Arial"/>
          <w:b/>
          <w:color w:val="1A1A1A" w:themeColor="background1" w:themeShade="1A"/>
          <w:sz w:val="20"/>
          <w:szCs w:val="20"/>
        </w:rPr>
        <w:t xml:space="preserve">золотовалютные </w:t>
      </w:r>
      <w:hyperlink r:id="rId21" w:history="1">
        <w:r w:rsidRPr="00A446D1">
          <w:rPr>
            <w:rStyle w:val="a3"/>
            <w:rFonts w:ascii="Arial" w:hAnsi="Arial" w:cs="Arial"/>
            <w:b/>
            <w:sz w:val="20"/>
            <w:szCs w:val="20"/>
          </w:rPr>
          <w:t>резервы государства</w:t>
        </w:r>
      </w:hyperlink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выросли на 7,4% до 398 </w:t>
      </w:r>
      <w:proofErr w:type="gramStart"/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млрд</w:t>
      </w:r>
      <w:proofErr w:type="gramEnd"/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долл. США. </w:t>
      </w:r>
    </w:p>
    <w:p w:rsidR="00057990" w:rsidRPr="00057990" w:rsidRDefault="00057990" w:rsidP="00E4781C">
      <w:pPr>
        <w:spacing w:before="240" w:after="0" w:line="240" w:lineRule="auto"/>
        <w:ind w:firstLine="284"/>
        <w:jc w:val="center"/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  <w:t>Выводы и прогнозы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В 2014 – 2015 годах обрушение мирового рынка нефти и санкции США в отношении России привели к девальвации рубля и разрыву экономических и финансовых связей с некоторыми международными компаниями, что отрицательно отразилось на российской экономике, в существенной степени ориентированной на экспорт энергоносителей и на иностранные инвестиции. Это привело к дефициту бюджета, сокращению госпрограмм и социальных расходов, снижению доходов и инвестиционной активности, снижению потребительского спроса и к высокой инфляции, обусловив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спад в некоторых отраслях промышленности, в строительстве и производстве основных строительных материалов, в розничной торговле и в платных услугах населению.  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В этих условиях частичный уход с отечественного рынка иностранных компаний и импортных товаров сыграли положительную роль: у российских предприятий реального сектора появились возможности для увеличения своей доли на внутреннем рынке и увеличения выпуска продукции.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Девальвация рубля стимулирует отечественное производство и экспорт и дает хороший шанс для улучшения отраслевой структуры, для развития мелкого и среднего производства, для импортозамещения. Сельское хозяйство, сельхозпереработка и производство сельхозмашин и оборудования показывают отличные результаты роста. </w:t>
      </w:r>
      <w:proofErr w:type="gramStart"/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Отмечен значительный рост производства в пищевой и легкой промышленности, рост производства автобусов, грузового транспорта и прицепов, производства машин и оборудования, металлорежущих станков, турбин, строительных кранов и подъемно-транспортного оборудования, рост производства машин и оборудования для металлургии, производства отделочных стройматериалов и металлических строительных конструкций, производства котлов и радиаторов отопления, производства искусственных и синтетических волокон, рост производства фармацевтической продукции, медицинского оборудования и инструментов</w:t>
      </w:r>
      <w:proofErr w:type="gramEnd"/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, а также многих других важнейших для экономики видов продукции. 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 начала 2016 года наблюдаются тенденции восстановления основных экономических показателей: восстановление положительной динамики ВВП, снижение инфляции, восстановление потребительского спроса и инвестиционной активности. Некоторый рост цен нефти также оказал поддержку консервативной финансовой политике государства и экономической активности бизнеса. 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Положительные тренды российской экономики указывают на то, что с 2017 года восстановится рост доходов населения и бизнеса. Это приведет к росту спроса и к стимулированию экономики. 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В России есть все ключевые ресурсы: развитая энергетика, сырье, кадровый потенциал. Для дальнейшего развития импортозамещения требуются значительные и регулярные инвестиции в активы высокотехнологичных отраслей. Необходимо развивать инженерно-транспортную инфраструктуру, строить новые производственные здания и сооружения, приобретать, проектировать и создавать современное оборудование, обучать кадры, внедрять новые технологии и организацию эффективного производства. Однако это требует времени, терпения и ожидать скорого перелома здесь не стоит. Реформирование структуры экономики займет не менее десятка лет.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Важнейшей предпосылкой для экономической стабилизации являются государственные целевые программы, которые поддерживают сегодняшнюю экономику и разгонят инвестиционные процессы. 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Учитывая количественную и географическую ограниченность мировой добычи природных ресурсов, углеводороды (нефть и газ) сохранят свою значимость для России и в будущем. В условиях расширяющегося мирового производства и потребления ресурсов, в условиях повышения себестоимости добычи мировые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цены на нефть не могут искусственно удерживаться на низком уровне в течение длительного времени. С учетом цикличности развития мировой экономики, общая тенденция роста цен на энергоносители сохранится. 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По оценке экспертов </w:t>
      </w:r>
      <w:proofErr w:type="spellStart"/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Morgan</w:t>
      </w:r>
      <w:proofErr w:type="spellEnd"/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proofErr w:type="spellStart"/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Stanley</w:t>
      </w:r>
      <w:proofErr w:type="spellEnd"/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, в 2016 году на мировом рынке будет </w:t>
      </w:r>
      <w:proofErr w:type="gramStart"/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сохранятся</w:t>
      </w:r>
      <w:proofErr w:type="gramEnd"/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профицит нефти, но уже в 2017-м образуется нехватка в 0,1 миллиона баррелей в сутки, которая к 2018-му увеличится в три раза. В 2019 - 2020 годах дефицит сырья составит 0,1 и 0,2 миллиона соответственно.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Потребности в нефти у Китая в последние 20-25 лет неизменно растут, а в ближайшем будущем КНР готовится стать главным мировым импортером, обогнав США.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Признаки восстановления консолидированного контроля большинства нефтедобывающих стран над объемами добычи и продажи нефти позволяют надеяться на стабилизацию цен на уровне 70 долл./баррель. Вместе с тем, все понимают высокую степень неопределенности в условиях балансирования между войной и миром. 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любом случае, России следует интенсивнее развивать импортозамещающие перерабатывающие и высокотехнологичные отрасли, чтобы снизить внешние риски. 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Таким образом, цели санкций не достигнуты. Несмотря на усиливающееся давление со стороны правящих кругов США, Великобритании и западных СМИ, несмотря на невиданные ранее провокационные обвинения, Россия не будет втягиваться в большой военный конфликт. Слишком тяжелы и памятны для нас потери Великой Отечественной войны. Применение против России летального оружия немыслимо в силу ядерного паритета. Западу есть что терять. Придется договариваться относительно мирно и в политике и в экономике.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</w:pPr>
    </w:p>
    <w:p w:rsidR="00057990" w:rsidRPr="00057990" w:rsidRDefault="00057990" w:rsidP="00E4781C">
      <w:pPr>
        <w:spacing w:before="240" w:after="0" w:line="240" w:lineRule="auto"/>
        <w:ind w:firstLine="284"/>
        <w:jc w:val="center"/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/>
          <w:bCs/>
          <w:color w:val="1A1A1A" w:themeColor="background1" w:themeShade="1A"/>
          <w:sz w:val="20"/>
          <w:szCs w:val="20"/>
        </w:rPr>
        <w:t>Основные тенденции и перспективы рынка недвижимости</w:t>
      </w:r>
    </w:p>
    <w:p w:rsidR="00057990" w:rsidRPr="00057990" w:rsidRDefault="00057990" w:rsidP="00E4781C">
      <w:pPr>
        <w:numPr>
          <w:ilvl w:val="0"/>
          <w:numId w:val="5"/>
        </w:numPr>
        <w:spacing w:after="0" w:line="240" w:lineRule="auto"/>
        <w:ind w:left="284" w:hanging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Внутриэкономических причин дальнейшего падения цен на объекты недвижимости нет. В условиях мировой политической и экономической нестабильности недвижимость, как и прежде, сохраняет свою инвестиционную значимость и важную роль сбережения и накопления капитала. </w:t>
      </w:r>
    </w:p>
    <w:p w:rsidR="00057990" w:rsidRPr="00057990" w:rsidRDefault="00057990" w:rsidP="00E4781C">
      <w:pPr>
        <w:numPr>
          <w:ilvl w:val="0"/>
          <w:numId w:val="5"/>
        </w:numPr>
        <w:spacing w:after="0" w:line="240" w:lineRule="auto"/>
        <w:ind w:left="284" w:hanging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Цены на недвижимость могут расти в условиях общего экономического роста, роста доходов населения и бизнеса при отставании объемов предложения. Сегодня ситуация в экономике и на рынке такая: </w:t>
      </w:r>
    </w:p>
    <w:p w:rsidR="00057990" w:rsidRPr="00057990" w:rsidRDefault="00057990" w:rsidP="00E4781C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после периода рецессии отмечаются положительные тенденции развития основных отраслей и улучшение макроэкономических показателей, что должно привести к восстановлению реальных доходов,</w:t>
      </w:r>
    </w:p>
    <w:p w:rsidR="00057990" w:rsidRPr="00057990" w:rsidRDefault="00057990" w:rsidP="00E4781C">
      <w:pPr>
        <w:pStyle w:val="a6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снижение доходов, которое наблюдалось с середины 2014 года, и 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падение 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спрос</w:t>
      </w:r>
      <w:r>
        <w:rPr>
          <w:rFonts w:ascii="Arial" w:hAnsi="Arial" w:cs="Arial"/>
          <w:color w:val="1A1A1A" w:themeColor="background1" w:themeShade="1A"/>
          <w:sz w:val="20"/>
          <w:szCs w:val="20"/>
        </w:rPr>
        <w:t>а</w:t>
      </w: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 на рынке были сбалансированы снижением объемов строительства и снижением удельных цен недвижимости. </w:t>
      </w:r>
    </w:p>
    <w:p w:rsidR="00057990" w:rsidRPr="00057990" w:rsidRDefault="00057990" w:rsidP="00E4781C">
      <w:pPr>
        <w:pStyle w:val="a6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  <w:bCs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Отрицательные экономические показатели 2015 года негативно повлияли на настроение участников рынка, однако </w:t>
      </w:r>
      <w:r>
        <w:rPr>
          <w:rFonts w:ascii="Arial" w:hAnsi="Arial" w:cs="Arial"/>
          <w:bCs/>
          <w:color w:val="1A1A1A" w:themeColor="background1" w:themeShade="1A"/>
          <w:sz w:val="20"/>
          <w:szCs w:val="20"/>
        </w:rPr>
        <w:t>квартальные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итоги 2016 года показывают, что дно кризиса пройдено, и это дает уверенность в стабилизации рынка. </w:t>
      </w:r>
    </w:p>
    <w:p w:rsidR="00057990" w:rsidRPr="00057990" w:rsidRDefault="00057990" w:rsidP="00E4781C">
      <w:pPr>
        <w:numPr>
          <w:ilvl w:val="0"/>
          <w:numId w:val="5"/>
        </w:numPr>
        <w:spacing w:after="0" w:line="240" w:lineRule="auto"/>
        <w:ind w:left="284" w:hanging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Рынки недвижимости Москвы и Санкт-Петербурга после падения 2015 года уже начали расти в сегментах новостроек и элитного загородного жилья. Менее активные региональные рынки недвижимости находятся в относительно равновесном состоянии.</w:t>
      </w:r>
    </w:p>
    <w:p w:rsidR="00057990" w:rsidRPr="00057990" w:rsidRDefault="00057990" w:rsidP="00E4781C">
      <w:pPr>
        <w:pStyle w:val="a6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С начала года отмечен рост количества сделок. </w:t>
      </w:r>
      <w:proofErr w:type="gramStart"/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При этом наблюдается снижение (-2,0%) цен на жильё вторичного рынка и снижение на (-5,3%) на квартиры первичного рынка, незначительный рост цен продажи офисных (+0,6%) и торговых (+1,2%) объектов, снижение цен на рынке аренды офисных помещений на (-1,4%) и торговых помещений на (-2,4 %), снижение на (-3,0%) на рынке продажи и на (-0,9%) на рынке аренды складской и производственной недвижимости. </w:t>
      </w:r>
      <w:proofErr w:type="gramEnd"/>
    </w:p>
    <w:p w:rsidR="00057990" w:rsidRPr="00057990" w:rsidRDefault="00057990" w:rsidP="00E4781C">
      <w:pPr>
        <w:numPr>
          <w:ilvl w:val="0"/>
          <w:numId w:val="5"/>
        </w:numPr>
        <w:spacing w:after="0" w:line="240" w:lineRule="auto"/>
        <w:ind w:left="284" w:hanging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В связи со снижением доходности рынка недвижимости сократились объемы строительства, что обусловило уход с рынка некоторых менее эффективных инвестиционных и строительных компаний. Сокращение строительства и постепенное восстановление потребительского спроса в дальнейшем подтолкнет рынок к росту цен и стабилизирует строительную индустрию.</w:t>
      </w:r>
    </w:p>
    <w:p w:rsidR="00057990" w:rsidRPr="00057990" w:rsidRDefault="00057990" w:rsidP="00E4781C">
      <w:pPr>
        <w:numPr>
          <w:ilvl w:val="0"/>
          <w:numId w:val="5"/>
        </w:numPr>
        <w:spacing w:after="0" w:line="240" w:lineRule="auto"/>
        <w:ind w:left="284" w:hanging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Восстановление и господдержка ипотечного кредитования, расширение кредитования бизнеса стабилизируют спрос, но учитывая сезонность цен недвижимости, можно увидеть рост только к концу 2016 года.</w:t>
      </w:r>
    </w:p>
    <w:p w:rsidR="00057990" w:rsidRPr="00057990" w:rsidRDefault="00057990" w:rsidP="00E4781C">
      <w:pPr>
        <w:numPr>
          <w:ilvl w:val="0"/>
          <w:numId w:val="5"/>
        </w:numPr>
        <w:spacing w:after="0" w:line="240" w:lineRule="auto"/>
        <w:ind w:left="284" w:hanging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 последующие периоды при условии политической и экономической стабильности, при условии </w:t>
      </w:r>
      <w:r w:rsidR="00E4781C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восстановления экономического роста и 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стимулирования потребительского спроса, смягчении финансово-кредитной политики государства и поддержке кредитования вероятен ро</w:t>
      </w:r>
      <w:proofErr w:type="gramStart"/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ст спр</w:t>
      </w:r>
      <w:proofErr w:type="gramEnd"/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>оса на недвижимость и не</w:t>
      </w:r>
      <w:r w:rsidR="00E4781C">
        <w:rPr>
          <w:rFonts w:ascii="Arial" w:hAnsi="Arial" w:cs="Arial"/>
          <w:bCs/>
          <w:color w:val="1A1A1A" w:themeColor="background1" w:themeShade="1A"/>
          <w:sz w:val="20"/>
          <w:szCs w:val="20"/>
        </w:rPr>
        <w:t>значительный</w:t>
      </w:r>
      <w:r w:rsidRPr="00057990">
        <w:rPr>
          <w:rFonts w:ascii="Arial" w:hAnsi="Arial" w:cs="Arial"/>
          <w:bCs/>
          <w:color w:val="1A1A1A" w:themeColor="background1" w:themeShade="1A"/>
          <w:sz w:val="20"/>
          <w:szCs w:val="20"/>
        </w:rPr>
        <w:t xml:space="preserve"> рост цен. 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 xml:space="preserve">(Анализ подготовлен специалистами </w:t>
      </w:r>
      <w:hyperlink r:id="rId22" w:history="1">
        <w:r w:rsidRPr="00057990">
          <w:rPr>
            <w:rStyle w:val="a3"/>
            <w:rFonts w:ascii="Arial" w:hAnsi="Arial" w:cs="Arial"/>
            <w:color w:val="1A1A1A" w:themeColor="background1" w:themeShade="1A"/>
            <w:sz w:val="20"/>
            <w:szCs w:val="20"/>
          </w:rPr>
          <w:t>СтатРиелт</w:t>
        </w:r>
      </w:hyperlink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)</w:t>
      </w: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</w:p>
    <w:p w:rsidR="00057990" w:rsidRPr="00057990" w:rsidRDefault="00057990" w:rsidP="00E4781C">
      <w:pPr>
        <w:spacing w:after="0" w:line="240" w:lineRule="auto"/>
        <w:ind w:firstLine="284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057990">
        <w:rPr>
          <w:rFonts w:ascii="Arial" w:hAnsi="Arial" w:cs="Arial"/>
          <w:color w:val="1A1A1A" w:themeColor="background1" w:themeShade="1A"/>
          <w:sz w:val="20"/>
          <w:szCs w:val="20"/>
        </w:rPr>
        <w:t>Использованные материалы:</w:t>
      </w:r>
    </w:p>
    <w:p w:rsidR="00A446D1" w:rsidRDefault="00A446D1" w:rsidP="00A446D1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A446D1">
        <w:rPr>
          <w:rFonts w:ascii="Arial" w:hAnsi="Arial" w:cs="Arial"/>
          <w:color w:val="1A1A1A" w:themeColor="background1" w:themeShade="1A"/>
          <w:sz w:val="20"/>
          <w:szCs w:val="20"/>
        </w:rPr>
        <w:t xml:space="preserve">Центральный банк Российской Федерации  </w:t>
      </w:r>
      <w:hyperlink r:id="rId23" w:history="1">
        <w:r w:rsidRPr="00A446D1">
          <w:rPr>
            <w:rStyle w:val="a3"/>
            <w:rFonts w:ascii="Arial" w:hAnsi="Arial" w:cs="Arial"/>
            <w:sz w:val="20"/>
            <w:szCs w:val="20"/>
          </w:rPr>
          <w:t>http://www.cbr.ru</w:t>
        </w:r>
      </w:hyperlink>
      <w:r>
        <w:rPr>
          <w:rFonts w:ascii="Arial" w:hAnsi="Arial" w:cs="Arial"/>
          <w:color w:val="1A1A1A" w:themeColor="background1" w:themeShade="1A"/>
          <w:sz w:val="20"/>
          <w:szCs w:val="20"/>
        </w:rPr>
        <w:t>.</w:t>
      </w:r>
    </w:p>
    <w:p w:rsidR="007029D2" w:rsidRDefault="00A446D1" w:rsidP="007029D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 w:rsidRPr="00A446D1">
        <w:rPr>
          <w:rFonts w:ascii="Arial" w:hAnsi="Arial" w:cs="Arial"/>
          <w:color w:val="1A1A1A" w:themeColor="background1" w:themeShade="1A"/>
          <w:sz w:val="20"/>
          <w:szCs w:val="20"/>
        </w:rPr>
        <w:t xml:space="preserve">Федеральная служба государственной статистики. </w:t>
      </w:r>
      <w:hyperlink r:id="rId24" w:history="1">
        <w:r w:rsidRPr="00A446D1">
          <w:rPr>
            <w:rStyle w:val="a3"/>
            <w:rFonts w:ascii="Arial" w:hAnsi="Arial" w:cs="Arial"/>
            <w:sz w:val="20"/>
            <w:szCs w:val="20"/>
            <w:lang w:val="en-US"/>
          </w:rPr>
          <w:t>www</w:t>
        </w:r>
        <w:r w:rsidRPr="00A446D1">
          <w:rPr>
            <w:rStyle w:val="a3"/>
            <w:rFonts w:ascii="Arial" w:hAnsi="Arial" w:cs="Arial"/>
            <w:sz w:val="20"/>
            <w:szCs w:val="20"/>
          </w:rPr>
          <w:t>.gks.ru</w:t>
        </w:r>
      </w:hyperlink>
      <w:r w:rsidR="007029D2">
        <w:rPr>
          <w:rFonts w:ascii="Arial" w:hAnsi="Arial" w:cs="Arial"/>
          <w:color w:val="1A1A1A" w:themeColor="background1" w:themeShade="1A"/>
          <w:sz w:val="20"/>
          <w:szCs w:val="20"/>
        </w:rPr>
        <w:t>.</w:t>
      </w:r>
    </w:p>
    <w:p w:rsidR="007029D2" w:rsidRDefault="007029D2" w:rsidP="007029D2">
      <w:pPr>
        <w:spacing w:after="0" w:line="240" w:lineRule="auto"/>
        <w:ind w:left="720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hyperlink r:id="rId25" w:history="1">
        <w:r w:rsidRPr="0069294A">
          <w:rPr>
            <w:rStyle w:val="a3"/>
            <w:rFonts w:ascii="Arial" w:hAnsi="Arial" w:cs="Arial"/>
            <w:sz w:val="20"/>
            <w:szCs w:val="20"/>
          </w:rPr>
          <w:t>http://www.gks.ru/free_doc/doc_2016/social/osn-08-2016.pdf</w:t>
        </w:r>
      </w:hyperlink>
      <w:r>
        <w:rPr>
          <w:rFonts w:ascii="Arial" w:hAnsi="Arial" w:cs="Arial"/>
          <w:color w:val="1A1A1A" w:themeColor="background1" w:themeShade="1A"/>
          <w:sz w:val="20"/>
          <w:szCs w:val="20"/>
        </w:rPr>
        <w:t>.</w:t>
      </w:r>
    </w:p>
    <w:p w:rsidR="00460ED0" w:rsidRPr="007029D2" w:rsidRDefault="007029D2" w:rsidP="007029D2">
      <w:pPr>
        <w:numPr>
          <w:ilvl w:val="0"/>
          <w:numId w:val="2"/>
        </w:numPr>
        <w:spacing w:after="0" w:line="240" w:lineRule="auto"/>
        <w:contextualSpacing/>
        <w:jc w:val="both"/>
        <w:rPr>
          <w:rFonts w:ascii="Arial" w:hAnsi="Arial" w:cs="Arial"/>
          <w:color w:val="1A1A1A" w:themeColor="background1" w:themeShade="1A"/>
          <w:sz w:val="20"/>
          <w:szCs w:val="20"/>
        </w:rPr>
      </w:pPr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Интернет-газета </w:t>
      </w:r>
      <w:hyperlink r:id="rId26" w:history="1">
        <w:r w:rsidRPr="0069294A">
          <w:rPr>
            <w:rStyle w:val="a3"/>
            <w:rFonts w:ascii="Arial" w:hAnsi="Arial" w:cs="Arial"/>
            <w:sz w:val="20"/>
            <w:szCs w:val="20"/>
          </w:rPr>
          <w:t>https://lenta.ru/news/2016/07/25/oilprices/</w:t>
        </w:r>
      </w:hyperlink>
      <w:r>
        <w:rPr>
          <w:rFonts w:ascii="Arial" w:hAnsi="Arial" w:cs="Arial"/>
          <w:color w:val="1A1A1A" w:themeColor="background1" w:themeShade="1A"/>
          <w:sz w:val="20"/>
          <w:szCs w:val="20"/>
        </w:rPr>
        <w:t xml:space="preserve">. </w:t>
      </w:r>
    </w:p>
    <w:sectPr w:rsidR="00460ED0" w:rsidRPr="007029D2" w:rsidSect="00057990">
      <w:pgSz w:w="11906" w:h="16838"/>
      <w:pgMar w:top="426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74D7C"/>
    <w:multiLevelType w:val="hybridMultilevel"/>
    <w:tmpl w:val="BE22C8FA"/>
    <w:lvl w:ilvl="0" w:tplc="7C66C968">
      <w:start w:val="1"/>
      <w:numFmt w:val="bullet"/>
      <w:lvlText w:val=""/>
      <w:lvlJc w:val="left"/>
      <w:pPr>
        <w:ind w:left="8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C900E6"/>
    <w:multiLevelType w:val="hybridMultilevel"/>
    <w:tmpl w:val="4886D4F4"/>
    <w:lvl w:ilvl="0" w:tplc="BB50A23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2E79D8"/>
    <w:multiLevelType w:val="hybridMultilevel"/>
    <w:tmpl w:val="9D4E640C"/>
    <w:lvl w:ilvl="0" w:tplc="0419000F">
      <w:start w:val="1"/>
      <w:numFmt w:val="decimal"/>
      <w:lvlText w:val="%1."/>
      <w:lvlJc w:val="left"/>
      <w:pPr>
        <w:ind w:left="1058" w:hanging="360"/>
      </w:pPr>
    </w:lvl>
    <w:lvl w:ilvl="1" w:tplc="04190019" w:tentative="1">
      <w:start w:val="1"/>
      <w:numFmt w:val="lowerLetter"/>
      <w:lvlText w:val="%2."/>
      <w:lvlJc w:val="left"/>
      <w:pPr>
        <w:ind w:left="1778" w:hanging="360"/>
      </w:pPr>
    </w:lvl>
    <w:lvl w:ilvl="2" w:tplc="0419001B" w:tentative="1">
      <w:start w:val="1"/>
      <w:numFmt w:val="lowerRoman"/>
      <w:lvlText w:val="%3."/>
      <w:lvlJc w:val="right"/>
      <w:pPr>
        <w:ind w:left="2498" w:hanging="180"/>
      </w:pPr>
    </w:lvl>
    <w:lvl w:ilvl="3" w:tplc="0419000F" w:tentative="1">
      <w:start w:val="1"/>
      <w:numFmt w:val="decimal"/>
      <w:lvlText w:val="%4."/>
      <w:lvlJc w:val="left"/>
      <w:pPr>
        <w:ind w:left="3218" w:hanging="360"/>
      </w:pPr>
    </w:lvl>
    <w:lvl w:ilvl="4" w:tplc="04190019" w:tentative="1">
      <w:start w:val="1"/>
      <w:numFmt w:val="lowerLetter"/>
      <w:lvlText w:val="%5."/>
      <w:lvlJc w:val="left"/>
      <w:pPr>
        <w:ind w:left="3938" w:hanging="360"/>
      </w:pPr>
    </w:lvl>
    <w:lvl w:ilvl="5" w:tplc="0419001B" w:tentative="1">
      <w:start w:val="1"/>
      <w:numFmt w:val="lowerRoman"/>
      <w:lvlText w:val="%6."/>
      <w:lvlJc w:val="right"/>
      <w:pPr>
        <w:ind w:left="4658" w:hanging="180"/>
      </w:pPr>
    </w:lvl>
    <w:lvl w:ilvl="6" w:tplc="0419000F" w:tentative="1">
      <w:start w:val="1"/>
      <w:numFmt w:val="decimal"/>
      <w:lvlText w:val="%7."/>
      <w:lvlJc w:val="left"/>
      <w:pPr>
        <w:ind w:left="5378" w:hanging="360"/>
      </w:pPr>
    </w:lvl>
    <w:lvl w:ilvl="7" w:tplc="04190019" w:tentative="1">
      <w:start w:val="1"/>
      <w:numFmt w:val="lowerLetter"/>
      <w:lvlText w:val="%8."/>
      <w:lvlJc w:val="left"/>
      <w:pPr>
        <w:ind w:left="6098" w:hanging="360"/>
      </w:pPr>
    </w:lvl>
    <w:lvl w:ilvl="8" w:tplc="041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3">
    <w:nsid w:val="1F652769"/>
    <w:multiLevelType w:val="hybridMultilevel"/>
    <w:tmpl w:val="5B809AB4"/>
    <w:lvl w:ilvl="0" w:tplc="BB50A23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>
    <w:nsid w:val="2C894D26"/>
    <w:multiLevelType w:val="hybridMultilevel"/>
    <w:tmpl w:val="C17AEFB8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>
    <w:nsid w:val="51B3780B"/>
    <w:multiLevelType w:val="hybridMultilevel"/>
    <w:tmpl w:val="FADA08AC"/>
    <w:lvl w:ilvl="0" w:tplc="7C66C968">
      <w:start w:val="1"/>
      <w:numFmt w:val="bullet"/>
      <w:lvlText w:val=""/>
      <w:lvlJc w:val="left"/>
      <w:pPr>
        <w:ind w:left="2520" w:hanging="360"/>
      </w:pPr>
      <w:rPr>
        <w:rFonts w:ascii="Symbol" w:hAnsi="Symbol" w:hint="default"/>
      </w:rPr>
    </w:lvl>
    <w:lvl w:ilvl="1" w:tplc="7C66C968">
      <w:start w:val="1"/>
      <w:numFmt w:val="bullet"/>
      <w:lvlText w:val=""/>
      <w:lvlJc w:val="left"/>
      <w:pPr>
        <w:ind w:left="2236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6">
    <w:nsid w:val="6E626B13"/>
    <w:multiLevelType w:val="hybridMultilevel"/>
    <w:tmpl w:val="D250D064"/>
    <w:lvl w:ilvl="0" w:tplc="247AB918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3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7990"/>
    <w:rsid w:val="00057990"/>
    <w:rsid w:val="003B69C1"/>
    <w:rsid w:val="005A5AF0"/>
    <w:rsid w:val="007029D2"/>
    <w:rsid w:val="0088084F"/>
    <w:rsid w:val="00A446D1"/>
    <w:rsid w:val="00C34537"/>
    <w:rsid w:val="00E47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478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799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57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799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5799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478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4781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5799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57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799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5799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478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lenta.ru/news/2016/07/25/oilprices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cbr.ru/hd_base/?PrtId=mrrf_7d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://www.gks.ru/free_doc/doc_2016/social/osn-08-2016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hyperlink" Target="http://www.gks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hyperlink" Target="http://www.cbr.ru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statrielt.ru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A021AC-A572-4009-A8D6-8401B1D21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2362</Words>
  <Characters>13466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Чирков</dc:creator>
  <cp:lastModifiedBy>Роман Чирков</cp:lastModifiedBy>
  <cp:revision>2</cp:revision>
  <dcterms:created xsi:type="dcterms:W3CDTF">2016-10-03T08:07:00Z</dcterms:created>
  <dcterms:modified xsi:type="dcterms:W3CDTF">2016-10-03T08:07:00Z</dcterms:modified>
</cp:coreProperties>
</file>