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D0" w:rsidRDefault="00244DD0" w:rsidP="00244DD0">
      <w:pPr>
        <w:spacing w:line="240" w:lineRule="exact"/>
        <w:jc w:val="center"/>
        <w:rPr>
          <w:rFonts w:ascii="Arial" w:hAnsi="Arial" w:cs="Arial"/>
          <w:b/>
          <w:sz w:val="20"/>
          <w:szCs w:val="20"/>
        </w:rPr>
      </w:pPr>
      <w:r w:rsidRPr="00244DD0">
        <w:rPr>
          <w:rFonts w:ascii="Arial" w:hAnsi="Arial" w:cs="Arial"/>
          <w:b/>
          <w:sz w:val="20"/>
          <w:szCs w:val="20"/>
        </w:rPr>
        <w:t xml:space="preserve">Информация о социально-экономическом развитии Ростовской области </w:t>
      </w:r>
    </w:p>
    <w:p w:rsidR="00244DD0" w:rsidRPr="00244DD0" w:rsidRDefault="00244DD0" w:rsidP="00244DD0">
      <w:pPr>
        <w:spacing w:line="240" w:lineRule="exact"/>
        <w:jc w:val="center"/>
        <w:rPr>
          <w:rFonts w:ascii="Arial" w:hAnsi="Arial" w:cs="Arial"/>
          <w:b/>
          <w:spacing w:val="-2"/>
          <w:sz w:val="20"/>
          <w:szCs w:val="20"/>
        </w:rPr>
      </w:pPr>
      <w:r w:rsidRPr="00244DD0">
        <w:rPr>
          <w:rFonts w:ascii="Arial" w:hAnsi="Arial" w:cs="Arial"/>
          <w:b/>
          <w:sz w:val="20"/>
          <w:szCs w:val="20"/>
        </w:rPr>
        <w:t>за январь-август 2018 года*</w:t>
      </w:r>
    </w:p>
    <w:p w:rsidR="00244DD0" w:rsidRPr="00244DD0" w:rsidRDefault="00244DD0" w:rsidP="00244DD0">
      <w:pPr>
        <w:jc w:val="both"/>
        <w:rPr>
          <w:rFonts w:ascii="Arial" w:hAnsi="Arial" w:cs="Arial"/>
          <w:sz w:val="20"/>
          <w:szCs w:val="20"/>
        </w:rPr>
      </w:pP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Индекс промышленного производства в Ростовской области в августе 2018 года по сравнению с соответствующим периодом предыдущего года составил 113,2%, в январе-августе 2018 года – 115,1%</w:t>
      </w:r>
    </w:p>
    <w:p w:rsidR="00244DD0" w:rsidRPr="00244DD0" w:rsidRDefault="00244DD0" w:rsidP="00244DD0">
      <w:pPr>
        <w:ind w:firstLine="709"/>
        <w:jc w:val="both"/>
        <w:rPr>
          <w:rFonts w:ascii="Arial" w:hAnsi="Arial" w:cs="Arial"/>
          <w:sz w:val="20"/>
          <w:szCs w:val="20"/>
        </w:rPr>
      </w:pPr>
      <w:proofErr w:type="gramStart"/>
      <w:r w:rsidRPr="00244DD0">
        <w:rPr>
          <w:rFonts w:ascii="Arial" w:hAnsi="Arial" w:cs="Arial"/>
          <w:sz w:val="20"/>
          <w:szCs w:val="20"/>
        </w:rPr>
        <w:t xml:space="preserve">По расчетам, </w:t>
      </w:r>
      <w:proofErr w:type="spellStart"/>
      <w:r w:rsidRPr="00244DD0">
        <w:rPr>
          <w:rFonts w:ascii="Arial" w:hAnsi="Arial" w:cs="Arial"/>
          <w:sz w:val="20"/>
          <w:szCs w:val="20"/>
        </w:rPr>
        <w:t>сельхозтоваропроизводителями</w:t>
      </w:r>
      <w:proofErr w:type="spellEnd"/>
      <w:r w:rsidRPr="00244DD0">
        <w:rPr>
          <w:rFonts w:ascii="Arial" w:hAnsi="Arial" w:cs="Arial"/>
          <w:sz w:val="20"/>
          <w:szCs w:val="20"/>
        </w:rPr>
        <w:t xml:space="preserve"> области в августе 2018 года произведено в фактически действовавших ценах продукции сельского хозяйства на 50203,4 млн. рублей, индекс производства продукции сельского хозяйства по сравнению с августом 2017 года в сопоставимой оценке составил 70,8%, в январе-августе 2018 года, соответственно, 137443,9 млн. рублей, по сравнению с январем-августом 2017 года в сопоставимой оценке – 89,8%.</w:t>
      </w:r>
      <w:proofErr w:type="gramEnd"/>
    </w:p>
    <w:p w:rsidR="00244DD0" w:rsidRPr="00244DD0" w:rsidRDefault="00244DD0" w:rsidP="00244DD0">
      <w:pPr>
        <w:ind w:firstLine="709"/>
        <w:jc w:val="both"/>
        <w:rPr>
          <w:rFonts w:ascii="Arial" w:hAnsi="Arial" w:cs="Arial"/>
          <w:sz w:val="20"/>
          <w:szCs w:val="20"/>
        </w:rPr>
      </w:pPr>
      <w:proofErr w:type="gramStart"/>
      <w:r w:rsidRPr="00244DD0">
        <w:rPr>
          <w:rFonts w:ascii="Arial" w:hAnsi="Arial" w:cs="Arial"/>
          <w:sz w:val="20"/>
          <w:szCs w:val="20"/>
        </w:rPr>
        <w:t>На начало сентября 2018 года поголовье крупного рогатого скота в хозяйствах всех категорий, по расчетам, составило 631,4 тыс. голов (на 3,1 % больше аналогичных данных предыдущего года), из него коров – 288,5 тыс. голов (на 1,9 % больше), овец и коз -1292,1 тыс. голов (на 0,2 % больше), поголовье свиней – 367,5 тыс. голов (на 13 % меньше), птицы – 19,6 млн. голов (на 19,5 % меньше).</w:t>
      </w:r>
      <w:proofErr w:type="gramEnd"/>
      <w:r w:rsidRPr="00244DD0">
        <w:rPr>
          <w:rFonts w:ascii="Arial" w:hAnsi="Arial" w:cs="Arial"/>
          <w:sz w:val="20"/>
          <w:szCs w:val="20"/>
        </w:rPr>
        <w:t xml:space="preserve"> В структуре поголовья скота на хозяйства населения приходилось 63,3% поголовья крупного рогатого скота, 36,7% – свиней, 56,2% – овец и коз.</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На территории Ростовской области объем работ, выполненных собственными силами по виду деятельности «Строительство», по полному кругу организаций в январе-августе 2018 года составил 63949,1 млн. рублей, или 66,8% (в сопоставимых ценах) к соответствующему периоду 2017 года, в августе 2018 года – 9185,0 </w:t>
      </w:r>
      <w:proofErr w:type="spellStart"/>
      <w:r w:rsidRPr="00244DD0">
        <w:rPr>
          <w:rFonts w:ascii="Arial" w:hAnsi="Arial" w:cs="Arial"/>
          <w:sz w:val="20"/>
          <w:szCs w:val="20"/>
        </w:rPr>
        <w:t>млн</w:t>
      </w:r>
      <w:proofErr w:type="gramStart"/>
      <w:r w:rsidRPr="00244DD0">
        <w:rPr>
          <w:rFonts w:ascii="Arial" w:hAnsi="Arial" w:cs="Arial"/>
          <w:sz w:val="20"/>
          <w:szCs w:val="20"/>
        </w:rPr>
        <w:t>.р</w:t>
      </w:r>
      <w:proofErr w:type="gramEnd"/>
      <w:r w:rsidRPr="00244DD0">
        <w:rPr>
          <w:rFonts w:ascii="Arial" w:hAnsi="Arial" w:cs="Arial"/>
          <w:sz w:val="20"/>
          <w:szCs w:val="20"/>
        </w:rPr>
        <w:t>ублей</w:t>
      </w:r>
      <w:proofErr w:type="spellEnd"/>
      <w:r w:rsidRPr="00244DD0">
        <w:rPr>
          <w:rFonts w:ascii="Arial" w:hAnsi="Arial" w:cs="Arial"/>
          <w:sz w:val="20"/>
          <w:szCs w:val="20"/>
        </w:rPr>
        <w:t>, или 53,2%, соответственно.</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В августе 2018 года оборот розничной торговли на 91,3% формировался торгующими организациями и индивидуальными предпринимателями (вне рынка), доля розничных рынков и ярмарок составила 8,7% (в августе 2017 года, соответственно, 90,9% и 9,1%).</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В январе-августе 2018 года, по предварительным данным, населению Ростовской области по всем каналам реализации было оказано платных услуг на 141881,3 млн. рублей, что в сопоставимых ценах на 2,8% выше уровня соответствующего периода предыдущего года.</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Индекс потребительских цен в августе 2018 года по отношению к предыдущему месяцу составил 99,9%, в том числе на продовольственные товары – 99,5%, непродовольственные товары – 100,1% и услуги – 100,2%.</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За январь-июль 2018 года объем денежных доходов населения сложился в размере 782,7 млрд. рублей, увеличившись по сравнению с аналогичным периодом 2017 года, рассчитанного для сопоставимости данных без учета единовременной денежной выплаты (ЕВ-2017) пенсионерам в размере 5 </w:t>
      </w:r>
      <w:proofErr w:type="spellStart"/>
      <w:r w:rsidRPr="00244DD0">
        <w:rPr>
          <w:rFonts w:ascii="Arial" w:hAnsi="Arial" w:cs="Arial"/>
          <w:sz w:val="20"/>
          <w:szCs w:val="20"/>
        </w:rPr>
        <w:t>тыс</w:t>
      </w:r>
      <w:proofErr w:type="gramStart"/>
      <w:r w:rsidRPr="00244DD0">
        <w:rPr>
          <w:rFonts w:ascii="Arial" w:hAnsi="Arial" w:cs="Arial"/>
          <w:sz w:val="20"/>
          <w:szCs w:val="20"/>
        </w:rPr>
        <w:t>.р</w:t>
      </w:r>
      <w:proofErr w:type="gramEnd"/>
      <w:r w:rsidRPr="00244DD0">
        <w:rPr>
          <w:rFonts w:ascii="Arial" w:hAnsi="Arial" w:cs="Arial"/>
          <w:sz w:val="20"/>
          <w:szCs w:val="20"/>
        </w:rPr>
        <w:t>ублей</w:t>
      </w:r>
      <w:proofErr w:type="spellEnd"/>
      <w:r w:rsidRPr="00244DD0">
        <w:rPr>
          <w:rFonts w:ascii="Arial" w:hAnsi="Arial" w:cs="Arial"/>
          <w:sz w:val="20"/>
          <w:szCs w:val="20"/>
        </w:rPr>
        <w:t xml:space="preserve">, произведенной в соответствии с Федеральным законом от 22 ноября 2016г. № 385-ФЗ, на 4%. С учетом указанной выплаты (ЕВ-2017) денежные доходы населения в </w:t>
      </w:r>
      <w:proofErr w:type="gramStart"/>
      <w:r w:rsidRPr="00244DD0">
        <w:rPr>
          <w:rFonts w:ascii="Arial" w:hAnsi="Arial" w:cs="Arial"/>
          <w:sz w:val="20"/>
          <w:szCs w:val="20"/>
        </w:rPr>
        <w:t>январе-июле</w:t>
      </w:r>
      <w:proofErr w:type="gramEnd"/>
      <w:r w:rsidRPr="00244DD0">
        <w:rPr>
          <w:rFonts w:ascii="Arial" w:hAnsi="Arial" w:cs="Arial"/>
          <w:sz w:val="20"/>
          <w:szCs w:val="20"/>
        </w:rPr>
        <w:t xml:space="preserve"> 2018 года относительно января-июля 2017 года выросли на 3,1%.</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Реальные располагаемые денежные доходы (доходы за вычетом обязательных платежей, скорректированные на индекс потребительских цен) в январе-июле 2018 года по сравнению с январем-июлем 2017 года (с учетом ЕВ-2017) увеличились на 1,4%, без учета ЕВ-2017 – на 2,4%.</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Среднемесячная номинальная начисленная заработная плата работников в июле 2018 года по кругу крупных организаций, средних и малых предприятий (с учетом </w:t>
      </w:r>
      <w:proofErr w:type="spellStart"/>
      <w:r w:rsidRPr="00244DD0">
        <w:rPr>
          <w:rFonts w:ascii="Arial" w:hAnsi="Arial" w:cs="Arial"/>
          <w:sz w:val="20"/>
          <w:szCs w:val="20"/>
        </w:rPr>
        <w:t>дорасчета</w:t>
      </w:r>
      <w:proofErr w:type="spellEnd"/>
      <w:r w:rsidRPr="00244DD0">
        <w:rPr>
          <w:rFonts w:ascii="Arial" w:hAnsi="Arial" w:cs="Arial"/>
          <w:sz w:val="20"/>
          <w:szCs w:val="20"/>
        </w:rPr>
        <w:t>) составила 30606,0 рубля (по сравнению с июлем 2017 года выросла на 9,5%). Реальная заработная плата, рассчитанная с учетом индекса потребительских цен, в июле 2018 года составила 108,1% к июлю 2017 года.</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С января 2017 года Росстат проводит выборочное обследование рабочей силы среди населения в возрасте 15 лет и старше (до 2017 года – в возрасте 15–72 лет). </w:t>
      </w:r>
    </w:p>
    <w:p w:rsidR="00244DD0" w:rsidRPr="00244DD0" w:rsidRDefault="00244DD0" w:rsidP="00244DD0">
      <w:pPr>
        <w:ind w:firstLine="709"/>
        <w:jc w:val="both"/>
        <w:rPr>
          <w:rFonts w:ascii="Arial" w:hAnsi="Arial" w:cs="Arial"/>
          <w:sz w:val="20"/>
          <w:szCs w:val="20"/>
        </w:rPr>
      </w:pPr>
      <w:proofErr w:type="gramStart"/>
      <w:r w:rsidRPr="00244DD0">
        <w:rPr>
          <w:rFonts w:ascii="Arial" w:hAnsi="Arial" w:cs="Arial"/>
          <w:sz w:val="20"/>
          <w:szCs w:val="20"/>
        </w:rPr>
        <w:t xml:space="preserve">Численность рабочей силы в возрасте 15 лет и старше в среднем за май-июль 2018 года составила 2109,2 тыс. человек, из них 2001,7 тыс. человек классифицировались как занятые экономической деятельностью и 107,5 тыс. человек – как безработные с применением критериев МОТ (т.е. не имели работы или доходного занятия, искали работу и были готовы приступить к ней в обследуемую неделю). </w:t>
      </w:r>
      <w:proofErr w:type="gramEnd"/>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Уровень безработицы (отношение численности безработных к численности рабочей силы) в мае-июле 2018 года составил 5,1%. </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Уровень занятости населения (отношение численности занятого населения к общей численности населения в возрасте 15 лет и старше) в мае-июле 2018 года составил 56,2%.</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К концу августа 2018 года в государственных учреждениях службы занятости состояло на учете 21,7 тыс. не занятых трудовой деятельностью граждан, из них 17,4 тыс. человек имели статус безработного.</w:t>
      </w: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t xml:space="preserve">Демографическая ситуация в январе-июле 2018 года характеризовалась снижением числа </w:t>
      </w:r>
      <w:proofErr w:type="gramStart"/>
      <w:r w:rsidRPr="00244DD0">
        <w:rPr>
          <w:rFonts w:ascii="Arial" w:hAnsi="Arial" w:cs="Arial"/>
          <w:sz w:val="20"/>
          <w:szCs w:val="20"/>
        </w:rPr>
        <w:t>родившихся</w:t>
      </w:r>
      <w:proofErr w:type="gramEnd"/>
      <w:r w:rsidRPr="00244DD0">
        <w:rPr>
          <w:rFonts w:ascii="Arial" w:hAnsi="Arial" w:cs="Arial"/>
          <w:sz w:val="20"/>
          <w:szCs w:val="20"/>
        </w:rPr>
        <w:t xml:space="preserve"> и увеличением числа умерших. Число </w:t>
      </w:r>
      <w:proofErr w:type="gramStart"/>
      <w:r w:rsidRPr="00244DD0">
        <w:rPr>
          <w:rFonts w:ascii="Arial" w:hAnsi="Arial" w:cs="Arial"/>
          <w:sz w:val="20"/>
          <w:szCs w:val="20"/>
        </w:rPr>
        <w:t>умерших</w:t>
      </w:r>
      <w:proofErr w:type="gramEnd"/>
      <w:r w:rsidRPr="00244DD0">
        <w:rPr>
          <w:rFonts w:ascii="Arial" w:hAnsi="Arial" w:cs="Arial"/>
          <w:sz w:val="20"/>
          <w:szCs w:val="20"/>
        </w:rPr>
        <w:t xml:space="preserve"> превысило число родившихся в 1,5 раза.</w:t>
      </w:r>
    </w:p>
    <w:p w:rsidR="00244DD0" w:rsidRDefault="00244DD0" w:rsidP="00244DD0">
      <w:pPr>
        <w:ind w:firstLine="709"/>
        <w:jc w:val="both"/>
        <w:rPr>
          <w:rFonts w:ascii="Arial" w:hAnsi="Arial" w:cs="Arial"/>
          <w:sz w:val="20"/>
          <w:szCs w:val="20"/>
        </w:rPr>
      </w:pPr>
    </w:p>
    <w:p w:rsidR="00244DD0" w:rsidRPr="00244DD0" w:rsidRDefault="00244DD0" w:rsidP="00244DD0">
      <w:pPr>
        <w:ind w:firstLine="709"/>
        <w:jc w:val="both"/>
        <w:rPr>
          <w:rFonts w:ascii="Arial" w:hAnsi="Arial" w:cs="Arial"/>
          <w:sz w:val="20"/>
          <w:szCs w:val="20"/>
        </w:rPr>
      </w:pPr>
      <w:r w:rsidRPr="00244DD0">
        <w:rPr>
          <w:rFonts w:ascii="Arial" w:hAnsi="Arial" w:cs="Arial"/>
          <w:sz w:val="20"/>
          <w:szCs w:val="20"/>
        </w:rPr>
        <w:lastRenderedPageBreak/>
        <w:t>За 7 месяцев 2018 года миграционная убыль населения области составила 1722 человека (в январе-июле 2017 года миграционный прирост 648 человек).</w:t>
      </w:r>
    </w:p>
    <w:p w:rsidR="00244DD0" w:rsidRPr="00244DD0" w:rsidRDefault="00244DD0" w:rsidP="00244DD0">
      <w:pPr>
        <w:ind w:firstLine="709"/>
        <w:jc w:val="both"/>
        <w:rPr>
          <w:rFonts w:ascii="Arial" w:hAnsi="Arial" w:cs="Arial"/>
        </w:rPr>
      </w:pPr>
    </w:p>
    <w:p w:rsidR="00244DD0" w:rsidRPr="00244DD0" w:rsidRDefault="00244DD0" w:rsidP="00244DD0">
      <w:pPr>
        <w:jc w:val="both"/>
        <w:rPr>
          <w:rFonts w:ascii="Arial" w:hAnsi="Arial" w:cs="Arial"/>
          <w:sz w:val="20"/>
          <w:szCs w:val="20"/>
        </w:rPr>
      </w:pPr>
    </w:p>
    <w:p w:rsidR="00244DD0" w:rsidRPr="00244DD0" w:rsidRDefault="00244DD0" w:rsidP="00244DD0">
      <w:pPr>
        <w:pStyle w:val="2"/>
        <w:spacing w:after="0" w:line="240" w:lineRule="auto"/>
        <w:ind w:left="0" w:firstLine="709"/>
        <w:jc w:val="right"/>
        <w:rPr>
          <w:rFonts w:ascii="Arial" w:hAnsi="Arial" w:cs="Arial"/>
          <w:iCs/>
          <w:spacing w:val="-6"/>
          <w:sz w:val="20"/>
          <w:szCs w:val="20"/>
        </w:rPr>
      </w:pPr>
      <w:r w:rsidRPr="00244DD0">
        <w:rPr>
          <w:rFonts w:ascii="Arial" w:hAnsi="Arial" w:cs="Arial"/>
          <w:iCs/>
          <w:spacing w:val="-6"/>
          <w:sz w:val="20"/>
          <w:szCs w:val="20"/>
        </w:rPr>
        <w:t xml:space="preserve">* по данным территориального органа Федеральной службы государственной статистики </w:t>
      </w:r>
    </w:p>
    <w:p w:rsidR="00244DD0" w:rsidRPr="00244DD0" w:rsidRDefault="00244DD0" w:rsidP="00244DD0">
      <w:pPr>
        <w:pStyle w:val="2"/>
        <w:spacing w:after="0" w:line="240" w:lineRule="auto"/>
        <w:ind w:left="0" w:firstLine="709"/>
        <w:jc w:val="right"/>
        <w:rPr>
          <w:rFonts w:ascii="Arial" w:hAnsi="Arial" w:cs="Arial"/>
          <w:iCs/>
          <w:spacing w:val="-6"/>
          <w:sz w:val="20"/>
          <w:szCs w:val="20"/>
        </w:rPr>
      </w:pPr>
      <w:r w:rsidRPr="00244DD0">
        <w:rPr>
          <w:rFonts w:ascii="Arial" w:hAnsi="Arial" w:cs="Arial"/>
          <w:iCs/>
          <w:spacing w:val="-6"/>
          <w:sz w:val="20"/>
          <w:szCs w:val="20"/>
        </w:rPr>
        <w:t>по Ростовской области</w:t>
      </w:r>
    </w:p>
    <w:p w:rsidR="00553033" w:rsidRPr="00244DD0" w:rsidRDefault="00244DD0" w:rsidP="00244DD0">
      <w:pPr>
        <w:jc w:val="right"/>
        <w:rPr>
          <w:rFonts w:ascii="Arial" w:hAnsi="Arial" w:cs="Arial"/>
        </w:rPr>
      </w:pPr>
      <w:r w:rsidRPr="00244DD0">
        <w:rPr>
          <w:rFonts w:ascii="Arial" w:hAnsi="Arial" w:cs="Arial"/>
          <w:iCs/>
          <w:spacing w:val="-6"/>
          <w:sz w:val="20"/>
          <w:szCs w:val="20"/>
        </w:rPr>
        <w:t xml:space="preserve"> (http://rostov.gks.ru/)</w:t>
      </w:r>
    </w:p>
    <w:p w:rsidR="00287DDF" w:rsidRPr="00287DDF" w:rsidRDefault="00287DDF" w:rsidP="00287DDF">
      <w:pPr>
        <w:jc w:val="right"/>
        <w:rPr>
          <w:rFonts w:ascii="Arial" w:hAnsi="Arial" w:cs="Arial"/>
        </w:rPr>
      </w:pPr>
    </w:p>
    <w:p w:rsidR="006475AC" w:rsidRPr="00CC1B3D" w:rsidRDefault="006475AC" w:rsidP="00F535FE">
      <w:pPr>
        <w:outlineLvl w:val="1"/>
        <w:rPr>
          <w:rFonts w:ascii="Arial" w:hAnsi="Arial" w:cs="Arial"/>
          <w:b/>
          <w:sz w:val="20"/>
          <w:szCs w:val="20"/>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553033">
        <w:rPr>
          <w:rFonts w:ascii="Arial" w:hAnsi="Arial" w:cs="Arial"/>
          <w:b/>
          <w:sz w:val="20"/>
          <w:szCs w:val="20"/>
        </w:rPr>
        <w:t>Ростов-на-Дону</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4B0921" w:rsidP="004B0921">
      <w:pPr>
        <w:ind w:firstLine="709"/>
        <w:jc w:val="both"/>
        <w:rPr>
          <w:rFonts w:ascii="Arial" w:hAnsi="Arial" w:cs="Arial"/>
          <w:sz w:val="20"/>
          <w:szCs w:val="20"/>
        </w:rPr>
      </w:pPr>
      <w:r w:rsidRPr="00CC1B3D">
        <w:rPr>
          <w:rFonts w:ascii="Arial" w:hAnsi="Arial" w:cs="Arial"/>
          <w:sz w:val="20"/>
          <w:szCs w:val="20"/>
        </w:rPr>
        <w:t xml:space="preserve">В </w:t>
      </w:r>
      <w:r w:rsidR="00FE69FA">
        <w:rPr>
          <w:rFonts w:ascii="Arial" w:hAnsi="Arial" w:cs="Arial"/>
          <w:sz w:val="20"/>
          <w:szCs w:val="20"/>
        </w:rPr>
        <w:t>данном</w:t>
      </w:r>
      <w:r w:rsidRPr="00CC1B3D">
        <w:rPr>
          <w:rFonts w:ascii="Arial" w:hAnsi="Arial" w:cs="Arial"/>
          <w:sz w:val="20"/>
          <w:szCs w:val="20"/>
        </w:rPr>
        <w:t xml:space="preserve"> исследовани</w:t>
      </w:r>
      <w:r w:rsidR="00FE69FA">
        <w:rPr>
          <w:rFonts w:ascii="Arial" w:hAnsi="Arial" w:cs="Arial"/>
          <w:sz w:val="20"/>
          <w:szCs w:val="20"/>
        </w:rPr>
        <w:t>и</w:t>
      </w:r>
      <w:r w:rsidRPr="00CC1B3D">
        <w:rPr>
          <w:rFonts w:ascii="Arial" w:hAnsi="Arial" w:cs="Arial"/>
          <w:sz w:val="20"/>
          <w:szCs w:val="20"/>
        </w:rPr>
        <w:t xml:space="preserve">, на территории г. </w:t>
      </w:r>
      <w:r w:rsidR="00553033">
        <w:rPr>
          <w:rFonts w:ascii="Arial" w:hAnsi="Arial" w:cs="Arial"/>
          <w:sz w:val="20"/>
          <w:szCs w:val="20"/>
        </w:rPr>
        <w:t>Ростов-на-Дону</w:t>
      </w:r>
      <w:r w:rsidRPr="00CC1B3D">
        <w:rPr>
          <w:rFonts w:ascii="Arial" w:hAnsi="Arial" w:cs="Arial"/>
          <w:sz w:val="20"/>
          <w:szCs w:val="20"/>
        </w:rPr>
        <w:t xml:space="preserve"> </w:t>
      </w:r>
      <w:r w:rsidR="00FE69FA">
        <w:rPr>
          <w:rFonts w:ascii="Arial" w:hAnsi="Arial" w:cs="Arial"/>
          <w:sz w:val="20"/>
          <w:szCs w:val="20"/>
        </w:rPr>
        <w:t>можно выделить</w:t>
      </w:r>
      <w:r w:rsidRPr="00CC1B3D">
        <w:rPr>
          <w:rFonts w:ascii="Arial" w:hAnsi="Arial" w:cs="Arial"/>
          <w:sz w:val="20"/>
          <w:szCs w:val="20"/>
        </w:rPr>
        <w:t xml:space="preserve"> следующие </w:t>
      </w:r>
      <w:r w:rsidR="00DE2F1E">
        <w:rPr>
          <w:rFonts w:ascii="Arial" w:hAnsi="Arial" w:cs="Arial"/>
          <w:sz w:val="20"/>
          <w:szCs w:val="20"/>
        </w:rPr>
        <w:t>активные</w:t>
      </w:r>
      <w:r w:rsidRPr="00CC1B3D">
        <w:rPr>
          <w:rFonts w:ascii="Arial" w:hAnsi="Arial" w:cs="Arial"/>
          <w:sz w:val="20"/>
          <w:szCs w:val="20"/>
        </w:rPr>
        <w:t xml:space="preserve"> (географические) районы: </w:t>
      </w:r>
      <w:proofErr w:type="gramStart"/>
      <w:r w:rsidR="00553033" w:rsidRPr="00553033">
        <w:rPr>
          <w:rFonts w:ascii="Arial" w:hAnsi="Arial" w:cs="Arial"/>
          <w:sz w:val="20"/>
          <w:szCs w:val="20"/>
        </w:rPr>
        <w:t>Центр, Советский (вкл.</w:t>
      </w:r>
      <w:proofErr w:type="gramEnd"/>
      <w:r w:rsidR="00553033" w:rsidRPr="00553033">
        <w:rPr>
          <w:rFonts w:ascii="Arial" w:hAnsi="Arial" w:cs="Arial"/>
          <w:sz w:val="20"/>
          <w:szCs w:val="20"/>
        </w:rPr>
        <w:t xml:space="preserve"> Железнодорожный,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r w:rsidR="00553033" w:rsidRPr="00553033">
        <w:rPr>
          <w:rFonts w:ascii="Arial" w:hAnsi="Arial" w:cs="Arial"/>
          <w:sz w:val="20"/>
          <w:szCs w:val="20"/>
        </w:rPr>
        <w:t>Военвед</w:t>
      </w:r>
      <w:proofErr w:type="spellEnd"/>
      <w:r w:rsidR="00553033" w:rsidRPr="00553033">
        <w:rPr>
          <w:rFonts w:ascii="Arial" w:hAnsi="Arial" w:cs="Arial"/>
          <w:sz w:val="20"/>
          <w:szCs w:val="20"/>
        </w:rPr>
        <w:t xml:space="preserve">), Северный (вкл. Мирный, Чкаловский), Пролетарский (вкл. пос. Орджоникидзе, </w:t>
      </w:r>
      <w:proofErr w:type="spellStart"/>
      <w:r w:rsidR="00553033" w:rsidRPr="00553033">
        <w:rPr>
          <w:rFonts w:ascii="Arial" w:hAnsi="Arial" w:cs="Arial"/>
          <w:sz w:val="20"/>
          <w:szCs w:val="20"/>
        </w:rPr>
        <w:t>мкр</w:t>
      </w:r>
      <w:proofErr w:type="spellEnd"/>
      <w:r w:rsidR="00553033" w:rsidRPr="00553033">
        <w:rPr>
          <w:rFonts w:ascii="Arial" w:hAnsi="Arial" w:cs="Arial"/>
          <w:sz w:val="20"/>
          <w:szCs w:val="20"/>
        </w:rPr>
        <w:t xml:space="preserve">. </w:t>
      </w:r>
      <w:proofErr w:type="spellStart"/>
      <w:proofErr w:type="gramStart"/>
      <w:r w:rsidR="00553033" w:rsidRPr="00553033">
        <w:rPr>
          <w:rFonts w:ascii="Arial" w:hAnsi="Arial" w:cs="Arial"/>
          <w:sz w:val="20"/>
          <w:szCs w:val="20"/>
        </w:rPr>
        <w:t>Сельмаш</w:t>
      </w:r>
      <w:proofErr w:type="spellEnd"/>
      <w:r w:rsidR="00553033" w:rsidRPr="00553033">
        <w:rPr>
          <w:rFonts w:ascii="Arial" w:hAnsi="Arial" w:cs="Arial"/>
          <w:sz w:val="20"/>
          <w:szCs w:val="20"/>
        </w:rPr>
        <w:t>) и Автосборочный (вкл. пос. Северный, проспект Ленина).</w:t>
      </w:r>
      <w:proofErr w:type="gramEnd"/>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244DD0">
        <w:rPr>
          <w:rFonts w:ascii="Arial" w:hAnsi="Arial" w:cs="Arial"/>
          <w:b/>
          <w:sz w:val="20"/>
          <w:szCs w:val="20"/>
          <w:u w:val="single"/>
        </w:rPr>
        <w:t>июль-август</w:t>
      </w:r>
      <w:r w:rsidR="00541CE2" w:rsidRPr="003121AF">
        <w:rPr>
          <w:rFonts w:ascii="Arial" w:hAnsi="Arial" w:cs="Arial"/>
          <w:b/>
          <w:sz w:val="20"/>
          <w:szCs w:val="20"/>
          <w:u w:val="single"/>
        </w:rPr>
        <w:t xml:space="preserve"> 2018</w:t>
      </w:r>
      <w:r w:rsidR="00D06CB8" w:rsidRPr="003121AF">
        <w:rPr>
          <w:rFonts w:ascii="Arial" w:hAnsi="Arial" w:cs="Arial"/>
          <w:b/>
          <w:sz w:val="20"/>
          <w:szCs w:val="20"/>
          <w:u w:val="single"/>
        </w:rPr>
        <w:t xml:space="preserve"> года</w:t>
      </w:r>
      <w:r w:rsidR="00C9634C" w:rsidRPr="003121AF">
        <w:rPr>
          <w:rFonts w:ascii="Arial" w:hAnsi="Arial" w:cs="Arial"/>
          <w:b/>
          <w:sz w:val="20"/>
          <w:szCs w:val="20"/>
          <w:u w:val="single"/>
        </w:rPr>
        <w:t>.</w:t>
      </w:r>
    </w:p>
    <w:p w:rsidR="00B37E7F" w:rsidRDefault="00B37E7F" w:rsidP="003121AF">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244DD0" w:rsidP="006475AC">
      <w:pPr>
        <w:keepNext/>
        <w:ind w:firstLine="540"/>
        <w:jc w:val="center"/>
        <w:rPr>
          <w:rFonts w:ascii="Arial" w:hAnsi="Arial" w:cs="Arial"/>
          <w:sz w:val="20"/>
          <w:szCs w:val="20"/>
        </w:rPr>
      </w:pPr>
      <w:r>
        <w:rPr>
          <w:noProof/>
          <w:sz w:val="20"/>
          <w:szCs w:val="20"/>
        </w:rPr>
        <w:drawing>
          <wp:inline distT="0" distB="0" distL="0" distR="0" wp14:anchorId="5E0929B7" wp14:editId="20923E0E">
            <wp:extent cx="3108960" cy="226187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261870"/>
                    </a:xfrm>
                    <a:prstGeom prst="rect">
                      <a:avLst/>
                    </a:prstGeom>
                    <a:noFill/>
                  </pic:spPr>
                </pic:pic>
              </a:graphicData>
            </a:graphic>
          </wp:inline>
        </w:drawing>
      </w:r>
    </w:p>
    <w:p w:rsidR="00036BE9" w:rsidRDefault="00036BE9" w:rsidP="00747FD5">
      <w:pPr>
        <w:spacing w:before="240"/>
        <w:rPr>
          <w:rFonts w:ascii="Arial" w:hAnsi="Arial" w:cs="Arial"/>
          <w:b/>
          <w:sz w:val="20"/>
          <w:szCs w:val="20"/>
        </w:rPr>
      </w:pP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553033">
        <w:rPr>
          <w:rFonts w:ascii="Arial" w:hAnsi="Arial" w:cs="Arial"/>
          <w:spacing w:val="-6"/>
          <w:sz w:val="20"/>
          <w:szCs w:val="20"/>
        </w:rPr>
        <w:t>59 990</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FC2982" w:rsidRPr="00CC1B3D" w:rsidRDefault="00FC2982" w:rsidP="002A1C23">
      <w:pPr>
        <w:pStyle w:val="ac"/>
        <w:rPr>
          <w:rFonts w:ascii="Arial" w:hAnsi="Arial" w:cs="Arial"/>
          <w:b w:val="0"/>
          <w:i/>
          <w:spacing w:val="-6"/>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48"/>
        <w:gridCol w:w="1367"/>
        <w:gridCol w:w="1541"/>
        <w:gridCol w:w="1422"/>
        <w:gridCol w:w="1415"/>
        <w:gridCol w:w="1380"/>
      </w:tblGrid>
      <w:tr w:rsidR="00244DD0" w:rsidRPr="00036BE9"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036BE9" w:rsidRDefault="00244DD0" w:rsidP="002B296A">
            <w:pPr>
              <w:rPr>
                <w:rFonts w:ascii="Arial" w:hAnsi="Arial" w:cs="Arial"/>
                <w:sz w:val="18"/>
                <w:szCs w:val="18"/>
              </w:rPr>
            </w:pPr>
          </w:p>
        </w:tc>
        <w:tc>
          <w:tcPr>
            <w:tcW w:w="70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244DD0" w:rsidRDefault="00244DD0" w:rsidP="00CE4279">
            <w:pPr>
              <w:jc w:val="center"/>
              <w:rPr>
                <w:rFonts w:ascii="Arial" w:hAnsi="Arial" w:cs="Arial"/>
                <w:b/>
                <w:sz w:val="18"/>
                <w:szCs w:val="18"/>
              </w:rPr>
            </w:pPr>
            <w:proofErr w:type="spellStart"/>
            <w:r w:rsidRPr="00244DD0">
              <w:rPr>
                <w:rFonts w:ascii="Arial" w:hAnsi="Arial" w:cs="Arial"/>
                <w:b/>
                <w:sz w:val="18"/>
                <w:szCs w:val="18"/>
              </w:rPr>
              <w:t>нояб</w:t>
            </w:r>
            <w:proofErr w:type="spellEnd"/>
            <w:proofErr w:type="gramStart"/>
            <w:r w:rsidRPr="00244DD0">
              <w:rPr>
                <w:rFonts w:ascii="Arial" w:hAnsi="Arial" w:cs="Arial"/>
                <w:b/>
                <w:sz w:val="18"/>
                <w:szCs w:val="18"/>
              </w:rPr>
              <w:t>.-</w:t>
            </w:r>
            <w:proofErr w:type="gramEnd"/>
            <w:r w:rsidRPr="00244DD0">
              <w:rPr>
                <w:rFonts w:ascii="Arial" w:hAnsi="Arial" w:cs="Arial"/>
                <w:b/>
                <w:sz w:val="18"/>
                <w:szCs w:val="18"/>
              </w:rPr>
              <w:t>дек. 17</w:t>
            </w:r>
          </w:p>
        </w:tc>
        <w:tc>
          <w:tcPr>
            <w:tcW w:w="8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март-апр. 18</w:t>
            </w:r>
          </w:p>
        </w:tc>
        <w:tc>
          <w:tcPr>
            <w:tcW w:w="73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июль-авг. 18</w:t>
            </w:r>
          </w:p>
        </w:tc>
      </w:tr>
      <w:tr w:rsidR="00244DD0" w:rsidRPr="00036BE9" w:rsidTr="00244DD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44DD0" w:rsidRPr="00036BE9" w:rsidRDefault="00244DD0" w:rsidP="002B296A">
            <w:pPr>
              <w:rPr>
                <w:rFonts w:ascii="Arial" w:hAnsi="Arial" w:cs="Arial"/>
                <w:b/>
                <w:sz w:val="18"/>
                <w:szCs w:val="18"/>
              </w:rPr>
            </w:pPr>
            <w:r w:rsidRPr="00036BE9">
              <w:rPr>
                <w:rFonts w:ascii="Arial" w:hAnsi="Arial" w:cs="Arial"/>
                <w:b/>
                <w:sz w:val="18"/>
                <w:szCs w:val="18"/>
              </w:rPr>
              <w:t>Средняя</w:t>
            </w:r>
          </w:p>
        </w:tc>
        <w:tc>
          <w:tcPr>
            <w:tcW w:w="7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55 141</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54 854</w:t>
            </w:r>
          </w:p>
        </w:tc>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55 076</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55 288</w:t>
            </w:r>
          </w:p>
        </w:tc>
        <w:tc>
          <w:tcPr>
            <w:tcW w:w="7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55 790</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55 428</w:t>
            </w:r>
          </w:p>
        </w:tc>
      </w:tr>
      <w:tr w:rsidR="00244DD0" w:rsidRPr="00036BE9"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244DD0" w:rsidRPr="00036BE9" w:rsidRDefault="00244DD0" w:rsidP="002B296A">
            <w:pPr>
              <w:rPr>
                <w:rFonts w:ascii="Arial" w:hAnsi="Arial" w:cs="Arial"/>
                <w:b/>
                <w:sz w:val="18"/>
                <w:szCs w:val="18"/>
              </w:rPr>
            </w:pPr>
            <w:r w:rsidRPr="00036BE9">
              <w:rPr>
                <w:rFonts w:ascii="Arial" w:hAnsi="Arial" w:cs="Arial"/>
                <w:b/>
                <w:sz w:val="18"/>
                <w:szCs w:val="18"/>
              </w:rPr>
              <w:t>Динамика</w:t>
            </w:r>
          </w:p>
        </w:tc>
        <w:tc>
          <w:tcPr>
            <w:tcW w:w="70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91%</w:t>
            </w:r>
          </w:p>
        </w:tc>
        <w:tc>
          <w:tcPr>
            <w:tcW w:w="80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92%</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92%</w:t>
            </w:r>
          </w:p>
        </w:tc>
        <w:tc>
          <w:tcPr>
            <w:tcW w:w="73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93%</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92%</w:t>
            </w:r>
          </w:p>
        </w:tc>
      </w:tr>
    </w:tbl>
    <w:p w:rsidR="00D06CB8" w:rsidRPr="00CC1B3D" w:rsidRDefault="00D06CB8" w:rsidP="00D930CD">
      <w:pPr>
        <w:jc w:val="both"/>
        <w:rPr>
          <w:rFonts w:ascii="Arial" w:hAnsi="Arial" w:cs="Arial"/>
          <w:sz w:val="20"/>
          <w:szCs w:val="20"/>
        </w:rPr>
      </w:pPr>
    </w:p>
    <w:p w:rsidR="00D06CB8" w:rsidRPr="00CC1B3D" w:rsidRDefault="00D06CB8" w:rsidP="00D06CB8">
      <w:pPr>
        <w:ind w:firstLine="709"/>
        <w:jc w:val="both"/>
        <w:rPr>
          <w:rFonts w:ascii="Arial" w:hAnsi="Arial" w:cs="Arial"/>
          <w:sz w:val="20"/>
          <w:szCs w:val="20"/>
        </w:rPr>
      </w:pPr>
    </w:p>
    <w:p w:rsidR="00061A43" w:rsidRPr="00CC1B3D" w:rsidRDefault="00244DD0" w:rsidP="00061A43">
      <w:pPr>
        <w:keepNext/>
        <w:ind w:firstLine="709"/>
        <w:jc w:val="center"/>
        <w:rPr>
          <w:rFonts w:ascii="Arial" w:hAnsi="Arial" w:cs="Arial"/>
          <w:sz w:val="20"/>
          <w:szCs w:val="20"/>
        </w:rPr>
      </w:pPr>
      <w:r>
        <w:rPr>
          <w:noProof/>
          <w:sz w:val="20"/>
          <w:szCs w:val="20"/>
        </w:rPr>
        <w:lastRenderedPageBreak/>
        <w:drawing>
          <wp:inline distT="0" distB="0" distL="0" distR="0" wp14:anchorId="4E9A2443" wp14:editId="0A6E0A17">
            <wp:extent cx="3115310" cy="2170430"/>
            <wp:effectExtent l="0" t="0" r="889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244DD0" w:rsidP="00061A43">
      <w:pPr>
        <w:keepNext/>
        <w:ind w:firstLine="540"/>
        <w:jc w:val="center"/>
        <w:rPr>
          <w:rFonts w:ascii="Arial" w:hAnsi="Arial" w:cs="Arial"/>
          <w:sz w:val="20"/>
          <w:szCs w:val="20"/>
        </w:rPr>
      </w:pPr>
      <w:r>
        <w:rPr>
          <w:noProof/>
        </w:rPr>
        <w:drawing>
          <wp:inline distT="0" distB="0" distL="0" distR="0" wp14:anchorId="0A7B09BB" wp14:editId="2D310BAC">
            <wp:extent cx="3115310" cy="2170430"/>
            <wp:effectExtent l="0" t="0" r="889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AF7F1A" w:rsidRDefault="00C9634C" w:rsidP="00AF7F1A">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244DD0">
        <w:rPr>
          <w:rFonts w:ascii="Arial" w:hAnsi="Arial" w:cs="Arial"/>
          <w:sz w:val="20"/>
          <w:szCs w:val="20"/>
        </w:rPr>
        <w:t>июле-августе</w:t>
      </w:r>
      <w:r w:rsidR="00AD6C98">
        <w:rPr>
          <w:rFonts w:ascii="Arial" w:hAnsi="Arial" w:cs="Arial"/>
          <w:sz w:val="20"/>
          <w:szCs w:val="20"/>
        </w:rPr>
        <w:t xml:space="preserve"> 2018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381"/>
        <w:gridCol w:w="994"/>
        <w:gridCol w:w="852"/>
        <w:gridCol w:w="992"/>
        <w:gridCol w:w="852"/>
        <w:gridCol w:w="992"/>
        <w:gridCol w:w="850"/>
        <w:gridCol w:w="993"/>
        <w:gridCol w:w="850"/>
        <w:gridCol w:w="815"/>
      </w:tblGrid>
      <w:tr w:rsidR="00036BE9" w:rsidRPr="00AF7F1A" w:rsidTr="00AF7F1A">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rPr>
                <w:rFonts w:ascii="Arial" w:hAnsi="Arial" w:cs="Arial"/>
                <w:sz w:val="18"/>
                <w:szCs w:val="18"/>
              </w:rPr>
            </w:pPr>
            <w:r w:rsidRPr="00AF7F1A">
              <w:rPr>
                <w:rFonts w:ascii="Arial" w:hAnsi="Arial" w:cs="Arial"/>
                <w:sz w:val="18"/>
                <w:szCs w:val="18"/>
              </w:rPr>
              <w:t>Район</w:t>
            </w:r>
          </w:p>
        </w:tc>
        <w:tc>
          <w:tcPr>
            <w:tcW w:w="964"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1-комнатные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2-комнатные</w:t>
            </w:r>
          </w:p>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квартиры</w:t>
            </w:r>
          </w:p>
        </w:tc>
        <w:tc>
          <w:tcPr>
            <w:tcW w:w="96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3-комнатные квартиры</w:t>
            </w:r>
          </w:p>
        </w:tc>
        <w:tc>
          <w:tcPr>
            <w:tcW w:w="96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многокомнатные квартиры</w:t>
            </w:r>
          </w:p>
        </w:tc>
        <w:tc>
          <w:tcPr>
            <w:tcW w:w="426"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036BE9" w:rsidRPr="00AF7F1A" w:rsidRDefault="00036BE9"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AF7F1A">
              <w:rPr>
                <w:rFonts w:ascii="Arial" w:hAnsi="Arial" w:cs="Arial"/>
                <w:bCs w:val="0"/>
                <w:sz w:val="18"/>
                <w:szCs w:val="18"/>
              </w:rPr>
              <w:t>Общая ср. цена</w:t>
            </w:r>
          </w:p>
        </w:tc>
      </w:tr>
      <w:tr w:rsidR="00036BE9" w:rsidRPr="00AF7F1A" w:rsidTr="005676C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Диапазон цен</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7F1A">
              <w:rPr>
                <w:rFonts w:ascii="Arial" w:hAnsi="Arial" w:cs="Arial"/>
                <w:sz w:val="18"/>
                <w:szCs w:val="18"/>
              </w:rPr>
              <w:t>ср. цена</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036BE9" w:rsidRPr="00AF7F1A" w:rsidRDefault="00036BE9" w:rsidP="005676C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p>
        </w:tc>
      </w:tr>
      <w:tr w:rsidR="00244DD0"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244DD0" w:rsidRPr="00AF7F1A" w:rsidRDefault="00244DD0" w:rsidP="005676C4">
            <w:pPr>
              <w:rPr>
                <w:rFonts w:ascii="Arial" w:hAnsi="Arial" w:cs="Arial"/>
                <w:b w:val="0"/>
                <w:sz w:val="18"/>
                <w:szCs w:val="18"/>
              </w:rPr>
            </w:pPr>
            <w:r w:rsidRPr="00AF7F1A">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69 152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30 000 - 100 000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63 631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30 000 - 100 235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62 909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30 689 - 99 610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64 195</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65 339</w:t>
            </w:r>
          </w:p>
        </w:tc>
      </w:tr>
      <w:tr w:rsidR="00244DD0"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244DD0" w:rsidRPr="00AF7F1A" w:rsidRDefault="00244DD0" w:rsidP="005676C4">
            <w:pPr>
              <w:rPr>
                <w:rFonts w:ascii="Arial" w:hAnsi="Arial" w:cs="Arial"/>
                <w:b w:val="0"/>
                <w:sz w:val="18"/>
                <w:szCs w:val="18"/>
              </w:rPr>
            </w:pPr>
            <w:r w:rsidRPr="00AF7F1A">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30 500 - 100 000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54 939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30 527 - 99 833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52 043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30 833 - 100 000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51 303</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32 894 - 82 307</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48 172</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53 126</w:t>
            </w:r>
          </w:p>
        </w:tc>
      </w:tr>
      <w:tr w:rsidR="00244DD0"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44DD0" w:rsidRPr="00AF7F1A" w:rsidRDefault="00244DD0" w:rsidP="005676C4">
            <w:pPr>
              <w:rPr>
                <w:rFonts w:ascii="Arial" w:hAnsi="Arial" w:cs="Arial"/>
                <w:b w:val="0"/>
                <w:sz w:val="18"/>
                <w:szCs w:val="18"/>
              </w:rPr>
            </w:pPr>
            <w:r w:rsidRPr="00AF7F1A">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30 285 - 96 666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52 828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30 681 - 95 890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50 310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30 000 - 85 714</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49 425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34 020 - 92 307</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48 680</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51 166</w:t>
            </w:r>
          </w:p>
        </w:tc>
      </w:tr>
      <w:tr w:rsidR="00244DD0" w:rsidRPr="00AF7F1A" w:rsidTr="00AF7F1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244DD0" w:rsidRPr="00AF7F1A" w:rsidRDefault="00244DD0" w:rsidP="005676C4">
            <w:pPr>
              <w:rPr>
                <w:rFonts w:ascii="Arial" w:hAnsi="Arial" w:cs="Arial"/>
                <w:b w:val="0"/>
                <w:sz w:val="18"/>
                <w:szCs w:val="18"/>
              </w:rPr>
            </w:pPr>
            <w:r w:rsidRPr="00AF7F1A">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31 333 - 98 936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58 149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30 555 - 100 000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56 170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30 769 - 100 917</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53 816</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30 263 - 83 333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51 936</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56 457</w:t>
            </w:r>
          </w:p>
        </w:tc>
      </w:tr>
      <w:tr w:rsidR="00244DD0" w:rsidRPr="00AF7F1A" w:rsidTr="00AF7F1A">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244DD0" w:rsidRPr="00AF7F1A" w:rsidRDefault="00244DD0" w:rsidP="005676C4">
            <w:pPr>
              <w:rPr>
                <w:rFonts w:ascii="Arial" w:hAnsi="Arial" w:cs="Arial"/>
                <w:b w:val="0"/>
                <w:sz w:val="18"/>
                <w:szCs w:val="18"/>
              </w:rPr>
            </w:pPr>
            <w:r w:rsidRPr="00AF7F1A">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34 375 - 98 750</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58 365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30 000 - 93 406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54 266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31 818 - 96 930</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53 691</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36 421 - 80 303</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54 500</w:t>
            </w:r>
          </w:p>
        </w:tc>
        <w:tc>
          <w:tcPr>
            <w:tcW w:w="426"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55 947</w:t>
            </w:r>
          </w:p>
        </w:tc>
      </w:tr>
      <w:tr w:rsidR="00244DD0" w:rsidRPr="00AF7F1A" w:rsidTr="00AF7F1A">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721"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244DD0" w:rsidRPr="00AF7F1A" w:rsidRDefault="00244DD0" w:rsidP="005676C4">
            <w:pPr>
              <w:rPr>
                <w:rFonts w:ascii="Arial" w:hAnsi="Arial" w:cs="Arial"/>
                <w:sz w:val="18"/>
                <w:szCs w:val="18"/>
              </w:rPr>
            </w:pPr>
            <w:r w:rsidRPr="00AF7F1A">
              <w:rPr>
                <w:rFonts w:ascii="Arial" w:hAnsi="Arial" w:cs="Arial"/>
                <w:sz w:val="18"/>
                <w:szCs w:val="18"/>
              </w:rPr>
              <w:t>Всего, руб./кв. м</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57 129</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30 000 - 100 000</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54 553</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30 000 - 100 917</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53 611</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30 263 - 99 610</w:t>
            </w:r>
          </w:p>
        </w:tc>
        <w:tc>
          <w:tcPr>
            <w:tcW w:w="444"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54 702</w:t>
            </w:r>
          </w:p>
        </w:tc>
        <w:tc>
          <w:tcPr>
            <w:tcW w:w="426"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44DD0">
              <w:rPr>
                <w:rFonts w:ascii="Arial" w:hAnsi="Arial" w:cs="Arial"/>
                <w:b/>
                <w:bCs/>
                <w:sz w:val="18"/>
                <w:szCs w:val="18"/>
              </w:rPr>
              <w:t>55 428</w:t>
            </w:r>
          </w:p>
        </w:tc>
      </w:tr>
    </w:tbl>
    <w:p w:rsidR="00226290" w:rsidRPr="00CC1B3D" w:rsidRDefault="00226290" w:rsidP="00C9634C">
      <w:pPr>
        <w:rPr>
          <w:rFonts w:ascii="Arial" w:hAnsi="Arial" w:cs="Arial"/>
          <w:b/>
          <w:sz w:val="20"/>
          <w:szCs w:val="20"/>
        </w:rPr>
      </w:pPr>
    </w:p>
    <w:p w:rsidR="00036BE9" w:rsidRPr="00CC1B3D" w:rsidRDefault="00036BE9" w:rsidP="006475AC">
      <w:pPr>
        <w:rPr>
          <w:rFonts w:ascii="Arial" w:hAnsi="Arial" w:cs="Arial"/>
          <w:b/>
          <w:sz w:val="20"/>
          <w:szCs w:val="20"/>
        </w:rPr>
      </w:pPr>
    </w:p>
    <w:p w:rsidR="00D06CB8" w:rsidRPr="00CC1B3D" w:rsidRDefault="00B37E7F" w:rsidP="00F535FE">
      <w:pPr>
        <w:ind w:firstLine="709"/>
        <w:jc w:val="center"/>
        <w:rPr>
          <w:rFonts w:ascii="Arial" w:hAnsi="Arial" w:cs="Arial"/>
          <w:b/>
          <w:sz w:val="20"/>
          <w:szCs w:val="20"/>
        </w:rPr>
      </w:pPr>
      <w:r>
        <w:rPr>
          <w:rFonts w:ascii="Arial" w:hAnsi="Arial" w:cs="Arial"/>
          <w:b/>
          <w:sz w:val="20"/>
          <w:szCs w:val="20"/>
        </w:rPr>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36C63">
        <w:rPr>
          <w:rFonts w:ascii="Arial" w:hAnsi="Arial" w:cs="Arial"/>
          <w:spacing w:val="-6"/>
          <w:sz w:val="20"/>
          <w:szCs w:val="20"/>
        </w:rPr>
        <w:t>46 302</w:t>
      </w:r>
      <w:r w:rsidR="00226290" w:rsidRPr="00CC1B3D">
        <w:rPr>
          <w:rFonts w:ascii="Arial" w:hAnsi="Arial" w:cs="Arial"/>
          <w:spacing w:val="-6"/>
          <w:sz w:val="20"/>
          <w:szCs w:val="20"/>
        </w:rPr>
        <w:t xml:space="preserve"> руб./</w:t>
      </w:r>
      <w:proofErr w:type="spellStart"/>
      <w:r w:rsidR="00226290" w:rsidRPr="00CC1B3D">
        <w:rPr>
          <w:rFonts w:ascii="Arial" w:hAnsi="Arial" w:cs="Arial"/>
          <w:spacing w:val="-6"/>
          <w:sz w:val="20"/>
          <w:szCs w:val="20"/>
        </w:rPr>
        <w:t>кв.м</w:t>
      </w:r>
      <w:proofErr w:type="spellEnd"/>
      <w:r w:rsidR="00226290" w:rsidRPr="00CC1B3D">
        <w:rPr>
          <w:rFonts w:ascii="Arial" w:hAnsi="Arial" w:cs="Arial"/>
          <w:spacing w:val="-6"/>
          <w:sz w:val="20"/>
          <w:szCs w:val="20"/>
        </w:rPr>
        <w:t>).</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48"/>
        <w:gridCol w:w="1367"/>
        <w:gridCol w:w="1541"/>
        <w:gridCol w:w="1422"/>
        <w:gridCol w:w="1415"/>
        <w:gridCol w:w="1380"/>
      </w:tblGrid>
      <w:tr w:rsidR="00244DD0" w:rsidRPr="006F279E"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6F279E" w:rsidRDefault="00244DD0" w:rsidP="002B296A">
            <w:pPr>
              <w:rPr>
                <w:rFonts w:ascii="Arial" w:hAnsi="Arial" w:cs="Arial"/>
                <w:sz w:val="18"/>
                <w:szCs w:val="18"/>
              </w:rPr>
            </w:pPr>
          </w:p>
        </w:tc>
        <w:tc>
          <w:tcPr>
            <w:tcW w:w="70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сент.-окт. 17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44DD0" w:rsidRPr="00244DD0" w:rsidRDefault="00244DD0" w:rsidP="00CE4279">
            <w:pPr>
              <w:jc w:val="center"/>
              <w:rPr>
                <w:rFonts w:ascii="Arial" w:hAnsi="Arial" w:cs="Arial"/>
                <w:b/>
                <w:sz w:val="18"/>
                <w:szCs w:val="18"/>
              </w:rPr>
            </w:pPr>
            <w:proofErr w:type="spellStart"/>
            <w:r w:rsidRPr="00244DD0">
              <w:rPr>
                <w:rFonts w:ascii="Arial" w:hAnsi="Arial" w:cs="Arial"/>
                <w:b/>
                <w:sz w:val="18"/>
                <w:szCs w:val="18"/>
              </w:rPr>
              <w:t>нояб</w:t>
            </w:r>
            <w:proofErr w:type="spellEnd"/>
            <w:proofErr w:type="gramStart"/>
            <w:r w:rsidRPr="00244DD0">
              <w:rPr>
                <w:rFonts w:ascii="Arial" w:hAnsi="Arial" w:cs="Arial"/>
                <w:b/>
                <w:sz w:val="18"/>
                <w:szCs w:val="18"/>
              </w:rPr>
              <w:t>.-</w:t>
            </w:r>
            <w:proofErr w:type="gramEnd"/>
            <w:r w:rsidRPr="00244DD0">
              <w:rPr>
                <w:rFonts w:ascii="Arial" w:hAnsi="Arial" w:cs="Arial"/>
                <w:b/>
                <w:sz w:val="18"/>
                <w:szCs w:val="18"/>
              </w:rPr>
              <w:t>дек. 17</w:t>
            </w:r>
          </w:p>
        </w:tc>
        <w:tc>
          <w:tcPr>
            <w:tcW w:w="80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янв.-февр. 18</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март-апр. 18</w:t>
            </w:r>
          </w:p>
        </w:tc>
        <w:tc>
          <w:tcPr>
            <w:tcW w:w="73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май-июнь 18</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июль-авг. 18</w:t>
            </w:r>
          </w:p>
        </w:tc>
      </w:tr>
      <w:tr w:rsidR="00244DD0" w:rsidRPr="006F279E" w:rsidTr="00244DD0">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44DD0" w:rsidRPr="006F279E" w:rsidRDefault="00244DD0" w:rsidP="002B296A">
            <w:pPr>
              <w:rPr>
                <w:rFonts w:ascii="Arial" w:hAnsi="Arial" w:cs="Arial"/>
                <w:b/>
                <w:sz w:val="18"/>
                <w:szCs w:val="18"/>
              </w:rPr>
            </w:pPr>
            <w:r w:rsidRPr="006F279E">
              <w:rPr>
                <w:rFonts w:ascii="Arial" w:hAnsi="Arial" w:cs="Arial"/>
                <w:b/>
                <w:sz w:val="18"/>
                <w:szCs w:val="18"/>
              </w:rPr>
              <w:t>Средняя</w:t>
            </w:r>
          </w:p>
        </w:tc>
        <w:tc>
          <w:tcPr>
            <w:tcW w:w="7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44 855</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45 103</w:t>
            </w:r>
          </w:p>
        </w:tc>
        <w:tc>
          <w:tcPr>
            <w:tcW w:w="8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45 900</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46 911</w:t>
            </w:r>
          </w:p>
        </w:tc>
        <w:tc>
          <w:tcPr>
            <w:tcW w:w="7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46 051</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44DD0" w:rsidRPr="00244DD0" w:rsidRDefault="00244DD0" w:rsidP="00CE4279">
            <w:pPr>
              <w:jc w:val="center"/>
              <w:rPr>
                <w:rFonts w:ascii="Arial" w:hAnsi="Arial" w:cs="Arial"/>
                <w:b/>
                <w:bCs/>
                <w:sz w:val="18"/>
                <w:szCs w:val="18"/>
              </w:rPr>
            </w:pPr>
            <w:r w:rsidRPr="00244DD0">
              <w:rPr>
                <w:rFonts w:ascii="Arial" w:hAnsi="Arial" w:cs="Arial"/>
                <w:b/>
                <w:bCs/>
                <w:sz w:val="18"/>
                <w:szCs w:val="18"/>
              </w:rPr>
              <w:t>46 290</w:t>
            </w:r>
          </w:p>
        </w:tc>
      </w:tr>
      <w:tr w:rsidR="00244DD0" w:rsidRPr="006F279E" w:rsidTr="00244DD0">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4"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p w:rsidR="00244DD0" w:rsidRPr="006F279E" w:rsidRDefault="00244DD0" w:rsidP="002B296A">
            <w:pPr>
              <w:rPr>
                <w:rFonts w:ascii="Arial" w:hAnsi="Arial" w:cs="Arial"/>
                <w:b/>
                <w:sz w:val="18"/>
                <w:szCs w:val="18"/>
              </w:rPr>
            </w:pPr>
            <w:r w:rsidRPr="006F279E">
              <w:rPr>
                <w:rFonts w:ascii="Arial" w:hAnsi="Arial" w:cs="Arial"/>
                <w:b/>
                <w:sz w:val="18"/>
                <w:szCs w:val="18"/>
              </w:rPr>
              <w:t>Динамика</w:t>
            </w:r>
          </w:p>
        </w:tc>
        <w:tc>
          <w:tcPr>
            <w:tcW w:w="70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97%</w:t>
            </w:r>
          </w:p>
        </w:tc>
        <w:tc>
          <w:tcPr>
            <w:cnfStyle w:val="000010000000" w:firstRow="0" w:lastRow="0" w:firstColumn="0" w:lastColumn="0" w:oddVBand="1" w:evenVBand="0" w:oddHBand="0" w:evenHBand="0" w:firstRowFirstColumn="0" w:firstRowLastColumn="0" w:lastRowFirstColumn="0" w:lastRowLastColumn="0"/>
            <w:tcW w:w="71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97%</w:t>
            </w:r>
          </w:p>
        </w:tc>
        <w:tc>
          <w:tcPr>
            <w:tcW w:w="80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4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101%</w:t>
            </w:r>
          </w:p>
        </w:tc>
        <w:tc>
          <w:tcPr>
            <w:tcW w:w="73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44DD0">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72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rsidR="00244DD0" w:rsidRPr="00244DD0" w:rsidRDefault="00244DD0" w:rsidP="00CE4279">
            <w:pPr>
              <w:jc w:val="center"/>
              <w:rPr>
                <w:rFonts w:ascii="Arial" w:hAnsi="Arial" w:cs="Arial"/>
                <w:b/>
                <w:sz w:val="18"/>
                <w:szCs w:val="18"/>
              </w:rPr>
            </w:pPr>
            <w:r w:rsidRPr="00244DD0">
              <w:rPr>
                <w:rFonts w:ascii="Arial" w:hAnsi="Arial" w:cs="Arial"/>
                <w:b/>
                <w:sz w:val="18"/>
                <w:szCs w:val="18"/>
              </w:rPr>
              <w:t>100%</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244DD0" w:rsidP="002A1C23">
      <w:pPr>
        <w:keepNext/>
        <w:ind w:firstLine="709"/>
        <w:jc w:val="center"/>
        <w:rPr>
          <w:rFonts w:ascii="Arial" w:hAnsi="Arial" w:cs="Arial"/>
          <w:sz w:val="20"/>
          <w:szCs w:val="20"/>
        </w:rPr>
      </w:pPr>
      <w:r>
        <w:rPr>
          <w:noProof/>
        </w:rPr>
        <w:lastRenderedPageBreak/>
        <w:drawing>
          <wp:inline distT="0" distB="0" distL="0" distR="0" wp14:anchorId="090CBB46" wp14:editId="48792201">
            <wp:extent cx="3115310" cy="2170430"/>
            <wp:effectExtent l="0" t="0" r="8890" b="127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310" cy="217043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2518"/>
        <w:gridCol w:w="2717"/>
        <w:gridCol w:w="2207"/>
        <w:gridCol w:w="2129"/>
      </w:tblGrid>
      <w:tr w:rsidR="006F279E" w:rsidRPr="006F279E" w:rsidTr="002B29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000000" w:themeColor="text1"/>
              <w:left w:val="none" w:sz="0" w:space="0" w:color="auto"/>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rPr>
                <w:rFonts w:ascii="Arial" w:hAnsi="Arial" w:cs="Arial"/>
                <w:sz w:val="18"/>
                <w:szCs w:val="18"/>
              </w:rPr>
            </w:pPr>
            <w:r w:rsidRPr="006F279E">
              <w:rPr>
                <w:rFonts w:ascii="Arial" w:hAnsi="Arial" w:cs="Arial"/>
                <w:sz w:val="18"/>
                <w:szCs w:val="18"/>
              </w:rPr>
              <w:t>Район</w:t>
            </w:r>
          </w:p>
        </w:tc>
        <w:tc>
          <w:tcPr>
            <w:tcW w:w="14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Диапазон цен единого объекта, руб.</w:t>
            </w:r>
          </w:p>
        </w:tc>
        <w:tc>
          <w:tcPr>
            <w:tcW w:w="1153"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 xml:space="preserve">Диапазон цен, руб. за 1 </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112" w:type="pct"/>
            <w:tcBorders>
              <w:top w:val="single" w:sz="4" w:space="0" w:color="000000" w:themeColor="text1"/>
              <w:left w:val="single" w:sz="4" w:space="0" w:color="FFFFFF" w:themeColor="background1"/>
              <w:bottom w:val="single" w:sz="4" w:space="0" w:color="BFBFBF" w:themeColor="background1" w:themeShade="BF"/>
              <w:right w:val="none" w:sz="0" w:space="0" w:color="auto"/>
            </w:tcBorders>
            <w:shd w:val="clear" w:color="auto" w:fill="BFBFBF" w:themeFill="background1" w:themeFillShade="BF"/>
            <w:hideMark/>
          </w:tcPr>
          <w:p w:rsidR="006F279E" w:rsidRPr="006F279E" w:rsidRDefault="006F279E" w:rsidP="002B296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279E">
              <w:rPr>
                <w:rFonts w:ascii="Arial" w:hAnsi="Arial" w:cs="Arial"/>
                <w:sz w:val="18"/>
                <w:szCs w:val="18"/>
              </w:rPr>
              <w:t>Ср. цена руб. за 1 кв. м.</w:t>
            </w:r>
          </w:p>
        </w:tc>
      </w:tr>
      <w:tr w:rsidR="00244DD0"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244DD0" w:rsidRPr="006F279E" w:rsidRDefault="00244DD0" w:rsidP="002B296A">
            <w:pPr>
              <w:rPr>
                <w:rFonts w:ascii="Arial" w:hAnsi="Arial" w:cs="Arial"/>
                <w:sz w:val="18"/>
                <w:szCs w:val="18"/>
              </w:rPr>
            </w:pPr>
            <w:r w:rsidRPr="006F279E">
              <w:rPr>
                <w:rFonts w:ascii="Arial" w:hAnsi="Arial" w:cs="Arial"/>
                <w:b w:val="0"/>
                <w:bCs w:val="0"/>
                <w:sz w:val="18"/>
                <w:szCs w:val="18"/>
              </w:rPr>
              <w:t>Центр</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600 000 - 60 000 000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49 170</w:t>
            </w:r>
          </w:p>
        </w:tc>
      </w:tr>
      <w:tr w:rsidR="00244DD0"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244DD0" w:rsidRPr="006F279E" w:rsidRDefault="00244DD0" w:rsidP="002B296A">
            <w:pPr>
              <w:rPr>
                <w:rFonts w:ascii="Arial" w:hAnsi="Arial" w:cs="Arial"/>
                <w:sz w:val="18"/>
                <w:szCs w:val="18"/>
              </w:rPr>
            </w:pPr>
            <w:r w:rsidRPr="006F279E">
              <w:rPr>
                <w:rFonts w:ascii="Arial" w:hAnsi="Arial" w:cs="Arial"/>
                <w:b w:val="0"/>
                <w:bCs w:val="0"/>
                <w:sz w:val="18"/>
                <w:szCs w:val="18"/>
              </w:rPr>
              <w:t>Советский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600 000 - 63 000 000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49 392</w:t>
            </w:r>
          </w:p>
        </w:tc>
      </w:tr>
      <w:tr w:rsidR="00244DD0"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244DD0" w:rsidRPr="006F279E" w:rsidRDefault="00244DD0" w:rsidP="002B296A">
            <w:pPr>
              <w:rPr>
                <w:rFonts w:ascii="Arial" w:hAnsi="Arial" w:cs="Arial"/>
                <w:sz w:val="18"/>
                <w:szCs w:val="18"/>
              </w:rPr>
            </w:pPr>
            <w:r w:rsidRPr="006F279E">
              <w:rPr>
                <w:rFonts w:ascii="Arial" w:hAnsi="Arial" w:cs="Arial"/>
                <w:b w:val="0"/>
                <w:bCs w:val="0"/>
                <w:sz w:val="18"/>
                <w:szCs w:val="18"/>
              </w:rPr>
              <w:t>Северный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950 000 - 70 000 000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20 000 - 97 972</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42 350</w:t>
            </w:r>
          </w:p>
        </w:tc>
      </w:tr>
      <w:tr w:rsidR="00244DD0"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244DD0" w:rsidRPr="006F279E" w:rsidRDefault="00244DD0" w:rsidP="002B296A">
            <w:pPr>
              <w:rPr>
                <w:rFonts w:ascii="Arial" w:hAnsi="Arial" w:cs="Arial"/>
                <w:sz w:val="18"/>
                <w:szCs w:val="18"/>
              </w:rPr>
            </w:pPr>
            <w:r w:rsidRPr="006F279E">
              <w:rPr>
                <w:rFonts w:ascii="Arial" w:hAnsi="Arial" w:cs="Arial"/>
                <w:b w:val="0"/>
                <w:bCs w:val="0"/>
                <w:sz w:val="18"/>
                <w:szCs w:val="18"/>
              </w:rPr>
              <w:t>Пролетарский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500 000 - 33 500 000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20 000 - 100 000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44DD0">
              <w:rPr>
                <w:rFonts w:ascii="Arial" w:hAnsi="Arial" w:cs="Arial"/>
                <w:sz w:val="18"/>
                <w:szCs w:val="18"/>
              </w:rPr>
              <w:t>46 259</w:t>
            </w:r>
          </w:p>
        </w:tc>
      </w:tr>
      <w:tr w:rsidR="00244DD0" w:rsidRPr="006F279E" w:rsidTr="002B29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auto"/>
            <w:vAlign w:val="center"/>
            <w:hideMark/>
          </w:tcPr>
          <w:p w:rsidR="00244DD0" w:rsidRPr="006F279E" w:rsidRDefault="00244DD0" w:rsidP="002B296A">
            <w:pPr>
              <w:rPr>
                <w:rFonts w:ascii="Arial" w:hAnsi="Arial" w:cs="Arial"/>
                <w:sz w:val="18"/>
                <w:szCs w:val="18"/>
              </w:rPr>
            </w:pPr>
            <w:r w:rsidRPr="006F279E">
              <w:rPr>
                <w:rFonts w:ascii="Arial" w:hAnsi="Arial" w:cs="Arial"/>
                <w:b w:val="0"/>
                <w:bCs w:val="0"/>
                <w:sz w:val="18"/>
                <w:szCs w:val="18"/>
              </w:rPr>
              <w:t>Автосборочный</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800 000 - 35 000 000</w:t>
            </w:r>
          </w:p>
        </w:tc>
        <w:tc>
          <w:tcPr>
            <w:tcW w:w="115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20 256 - 100 000</w:t>
            </w: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hideMark/>
          </w:tcPr>
          <w:p w:rsidR="00244DD0" w:rsidRPr="00244DD0" w:rsidRDefault="00244DD0"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44DD0">
              <w:rPr>
                <w:rFonts w:ascii="Arial" w:hAnsi="Arial" w:cs="Arial"/>
                <w:sz w:val="18"/>
                <w:szCs w:val="18"/>
              </w:rPr>
              <w:t>54 223</w:t>
            </w:r>
          </w:p>
        </w:tc>
      </w:tr>
      <w:tr w:rsidR="00244DD0" w:rsidRPr="006F279E" w:rsidTr="002B296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15" w:type="pct"/>
            <w:tcBorders>
              <w:top w:val="single" w:sz="4" w:space="0" w:color="BFBFBF" w:themeColor="background1" w:themeShade="BF"/>
              <w:left w:val="none" w:sz="0" w:space="0" w:color="auto"/>
              <w:bottom w:val="single" w:sz="4" w:space="0" w:color="auto"/>
              <w:right w:val="single" w:sz="4" w:space="0" w:color="FFFFFF" w:themeColor="background1"/>
            </w:tcBorders>
            <w:shd w:val="clear" w:color="auto" w:fill="BFBFBF" w:themeFill="background1" w:themeFillShade="BF"/>
            <w:vAlign w:val="center"/>
            <w:hideMark/>
          </w:tcPr>
          <w:p w:rsidR="00244DD0" w:rsidRPr="006F279E" w:rsidRDefault="00244DD0" w:rsidP="002B296A">
            <w:pPr>
              <w:rPr>
                <w:rFonts w:ascii="Arial" w:hAnsi="Arial" w:cs="Arial"/>
                <w:sz w:val="18"/>
                <w:szCs w:val="18"/>
              </w:rPr>
            </w:pPr>
            <w:r w:rsidRPr="006F279E">
              <w:rPr>
                <w:rFonts w:ascii="Arial" w:hAnsi="Arial" w:cs="Arial"/>
                <w:sz w:val="18"/>
                <w:szCs w:val="18"/>
              </w:rPr>
              <w:t>Всего, руб./</w:t>
            </w:r>
            <w:proofErr w:type="spellStart"/>
            <w:r w:rsidRPr="006F279E">
              <w:rPr>
                <w:rFonts w:ascii="Arial" w:hAnsi="Arial" w:cs="Arial"/>
                <w:sz w:val="18"/>
                <w:szCs w:val="18"/>
              </w:rPr>
              <w:t>кв</w:t>
            </w:r>
            <w:proofErr w:type="gramStart"/>
            <w:r w:rsidRPr="006F279E">
              <w:rPr>
                <w:rFonts w:ascii="Arial" w:hAnsi="Arial" w:cs="Arial"/>
                <w:sz w:val="18"/>
                <w:szCs w:val="18"/>
              </w:rPr>
              <w:t>.м</w:t>
            </w:r>
            <w:proofErr w:type="spellEnd"/>
            <w:proofErr w:type="gramEnd"/>
          </w:p>
        </w:tc>
        <w:tc>
          <w:tcPr>
            <w:tcW w:w="14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500 000 - 70 000 000</w:t>
            </w:r>
          </w:p>
        </w:tc>
        <w:tc>
          <w:tcPr>
            <w:tcW w:w="1153"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20 000 - 100 000</w:t>
            </w:r>
          </w:p>
        </w:tc>
        <w:tc>
          <w:tcPr>
            <w:tcW w:w="1112" w:type="pct"/>
            <w:tcBorders>
              <w:top w:val="single" w:sz="4" w:space="0" w:color="BFBFBF" w:themeColor="background1" w:themeShade="BF"/>
              <w:left w:val="single" w:sz="4" w:space="0" w:color="FFFFFF" w:themeColor="background1"/>
              <w:bottom w:val="single" w:sz="4" w:space="0" w:color="auto"/>
              <w:right w:val="none" w:sz="0" w:space="0" w:color="auto"/>
            </w:tcBorders>
            <w:shd w:val="clear" w:color="auto" w:fill="BFBFBF" w:themeFill="background1" w:themeFillShade="BF"/>
            <w:vAlign w:val="center"/>
            <w:hideMark/>
          </w:tcPr>
          <w:p w:rsidR="00244DD0" w:rsidRPr="00244DD0" w:rsidRDefault="00244DD0"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244DD0">
              <w:rPr>
                <w:rFonts w:ascii="Arial" w:hAnsi="Arial" w:cs="Arial"/>
                <w:b/>
                <w:bCs/>
                <w:sz w:val="18"/>
                <w:szCs w:val="18"/>
              </w:rPr>
              <w:t>46 290</w:t>
            </w:r>
          </w:p>
        </w:tc>
      </w:tr>
    </w:tbl>
    <w:p w:rsidR="00DD3FC4" w:rsidRDefault="00DD3FC4" w:rsidP="009840AF">
      <w:pPr>
        <w:jc w:val="both"/>
        <w:rPr>
          <w:rFonts w:ascii="Arial" w:hAnsi="Arial" w:cs="Arial"/>
          <w:b/>
          <w:sz w:val="20"/>
          <w:szCs w:val="20"/>
          <w:u w:val="single"/>
        </w:rPr>
      </w:pPr>
    </w:p>
    <w:p w:rsidR="00DD3FC4" w:rsidRDefault="00DD3FC4"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Проведенный анализ рынка показал следующее:</w:t>
      </w:r>
    </w:p>
    <w:p w:rsidR="002832B8" w:rsidRPr="002832B8" w:rsidRDefault="002832B8" w:rsidP="002832B8">
      <w:pPr>
        <w:ind w:firstLine="709"/>
        <w:jc w:val="both"/>
        <w:rPr>
          <w:rFonts w:ascii="Arial" w:hAnsi="Arial" w:cs="Arial"/>
          <w:sz w:val="20"/>
          <w:szCs w:val="20"/>
        </w:rPr>
      </w:pPr>
      <w:r w:rsidRPr="002832B8">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w:t>
      </w:r>
      <w:proofErr w:type="spellStart"/>
      <w:r>
        <w:rPr>
          <w:rFonts w:ascii="Arial" w:hAnsi="Arial" w:cs="Arial"/>
          <w:sz w:val="20"/>
          <w:szCs w:val="20"/>
        </w:rPr>
        <w:t>кв.м</w:t>
      </w:r>
      <w:proofErr w:type="spellEnd"/>
      <w:r>
        <w:rPr>
          <w:rFonts w:ascii="Arial" w:hAnsi="Arial" w:cs="Arial"/>
          <w:sz w:val="20"/>
          <w:szCs w:val="20"/>
        </w:rPr>
        <w:t xml:space="preserve">. – </w:t>
      </w:r>
      <w:r w:rsidRPr="002832B8">
        <w:rPr>
          <w:rFonts w:ascii="Arial" w:hAnsi="Arial" w:cs="Arial"/>
          <w:sz w:val="20"/>
          <w:szCs w:val="20"/>
        </w:rPr>
        <w:t>100 917 руб. /</w:t>
      </w:r>
      <w:proofErr w:type="spellStart"/>
      <w:r w:rsidRPr="002832B8">
        <w:rPr>
          <w:rFonts w:ascii="Arial" w:hAnsi="Arial" w:cs="Arial"/>
          <w:sz w:val="20"/>
          <w:szCs w:val="20"/>
        </w:rPr>
        <w:t>кв.м</w:t>
      </w:r>
      <w:proofErr w:type="spellEnd"/>
      <w:r w:rsidRPr="002832B8">
        <w:rPr>
          <w:rFonts w:ascii="Arial" w:hAnsi="Arial" w:cs="Arial"/>
          <w:sz w:val="20"/>
          <w:szCs w:val="20"/>
        </w:rPr>
        <w:t>. в зависимости от различных ценообразующих факторов, в среднем же по состоянию на июль-август 2018г. цена предложения квартир составляет 55 428 руб./</w:t>
      </w:r>
      <w:proofErr w:type="spellStart"/>
      <w:r w:rsidRPr="002832B8">
        <w:rPr>
          <w:rFonts w:ascii="Arial" w:hAnsi="Arial" w:cs="Arial"/>
          <w:sz w:val="20"/>
          <w:szCs w:val="20"/>
        </w:rPr>
        <w:t>кв.м</w:t>
      </w:r>
      <w:proofErr w:type="spellEnd"/>
      <w:r w:rsidRPr="002832B8">
        <w:rPr>
          <w:rFonts w:ascii="Arial" w:hAnsi="Arial" w:cs="Arial"/>
          <w:sz w:val="20"/>
          <w:szCs w:val="20"/>
        </w:rPr>
        <w:t>.</w:t>
      </w:r>
    </w:p>
    <w:p w:rsidR="002832B8" w:rsidRPr="002832B8" w:rsidRDefault="002832B8" w:rsidP="002832B8">
      <w:pPr>
        <w:ind w:firstLine="709"/>
        <w:jc w:val="both"/>
        <w:rPr>
          <w:rFonts w:ascii="Arial" w:hAnsi="Arial" w:cs="Arial"/>
          <w:sz w:val="20"/>
          <w:szCs w:val="20"/>
        </w:rPr>
      </w:pPr>
      <w:r w:rsidRPr="002832B8">
        <w:rPr>
          <w:rFonts w:ascii="Arial" w:hAnsi="Arial" w:cs="Arial"/>
          <w:sz w:val="20"/>
          <w:szCs w:val="20"/>
        </w:rPr>
        <w:t>Цена предложения домовладений в диапазоне от 20 000 руб./</w:t>
      </w:r>
      <w:proofErr w:type="spellStart"/>
      <w:r w:rsidRPr="002832B8">
        <w:rPr>
          <w:rFonts w:ascii="Arial" w:hAnsi="Arial" w:cs="Arial"/>
          <w:sz w:val="20"/>
          <w:szCs w:val="20"/>
        </w:rPr>
        <w:t>кв.м</w:t>
      </w:r>
      <w:proofErr w:type="spellEnd"/>
      <w:r w:rsidRPr="002832B8">
        <w:rPr>
          <w:rFonts w:ascii="Arial" w:hAnsi="Arial" w:cs="Arial"/>
          <w:sz w:val="20"/>
          <w:szCs w:val="20"/>
        </w:rPr>
        <w:t>. – 100 000 руб. /</w:t>
      </w:r>
      <w:proofErr w:type="spellStart"/>
      <w:r w:rsidRPr="002832B8">
        <w:rPr>
          <w:rFonts w:ascii="Arial" w:hAnsi="Arial" w:cs="Arial"/>
          <w:sz w:val="20"/>
          <w:szCs w:val="20"/>
        </w:rPr>
        <w:t>кв.м</w:t>
      </w:r>
      <w:proofErr w:type="spellEnd"/>
      <w:r w:rsidRPr="002832B8">
        <w:rPr>
          <w:rFonts w:ascii="Arial" w:hAnsi="Arial" w:cs="Arial"/>
          <w:sz w:val="20"/>
          <w:szCs w:val="20"/>
        </w:rPr>
        <w:t>. (без учета скидки на торг) составляет 46 290 руб./</w:t>
      </w:r>
      <w:proofErr w:type="spellStart"/>
      <w:r w:rsidRPr="002832B8">
        <w:rPr>
          <w:rFonts w:ascii="Arial" w:hAnsi="Arial" w:cs="Arial"/>
          <w:sz w:val="20"/>
          <w:szCs w:val="20"/>
        </w:rPr>
        <w:t>кв.м</w:t>
      </w:r>
      <w:proofErr w:type="spellEnd"/>
      <w:r w:rsidRPr="002832B8">
        <w:rPr>
          <w:rFonts w:ascii="Arial" w:hAnsi="Arial" w:cs="Arial"/>
          <w:sz w:val="20"/>
          <w:szCs w:val="20"/>
        </w:rPr>
        <w:t>.</w:t>
      </w:r>
    </w:p>
    <w:p w:rsidR="00051A5D" w:rsidRPr="002832B8" w:rsidRDefault="002832B8" w:rsidP="002832B8">
      <w:pPr>
        <w:ind w:firstLine="709"/>
        <w:jc w:val="both"/>
        <w:rPr>
          <w:rFonts w:ascii="Arial" w:hAnsi="Arial" w:cs="Arial"/>
          <w:sz w:val="20"/>
          <w:szCs w:val="20"/>
        </w:rPr>
      </w:pPr>
      <w:r w:rsidRPr="002832B8">
        <w:rPr>
          <w:rFonts w:ascii="Arial" w:hAnsi="Arial" w:cs="Arial"/>
          <w:sz w:val="20"/>
          <w:szCs w:val="20"/>
        </w:rPr>
        <w:t>Динамика рынка недвижимости: наблюдается стагнация средней цены предложения квартир и домовладений.</w:t>
      </w:r>
      <w:r w:rsidR="009D5CE9" w:rsidRPr="002832B8">
        <w:rPr>
          <w:rFonts w:ascii="Arial" w:hAnsi="Arial" w:cs="Arial"/>
          <w:sz w:val="20"/>
          <w:szCs w:val="20"/>
        </w:rPr>
        <w:t xml:space="preserve"> </w:t>
      </w:r>
      <w:r w:rsidR="00051A5D" w:rsidRPr="002832B8">
        <w:rPr>
          <w:rFonts w:ascii="Arial" w:hAnsi="Arial" w:cs="Arial"/>
          <w:sz w:val="20"/>
          <w:szCs w:val="20"/>
        </w:rPr>
        <w:t xml:space="preserve"> </w:t>
      </w:r>
    </w:p>
    <w:p w:rsidR="00051A5D" w:rsidRPr="00051A5D" w:rsidRDefault="00051A5D" w:rsidP="00051A5D">
      <w:pPr>
        <w:ind w:firstLine="709"/>
        <w:jc w:val="both"/>
        <w:rPr>
          <w:rFonts w:ascii="Arial" w:hAnsi="Arial" w:cs="Arial"/>
          <w:sz w:val="20"/>
          <w:szCs w:val="20"/>
        </w:rPr>
      </w:pPr>
      <w:r w:rsidRPr="00051A5D">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051A5D" w:rsidRDefault="00051A5D" w:rsidP="00051A5D">
      <w:pPr>
        <w:ind w:firstLine="709"/>
        <w:jc w:val="both"/>
        <w:rPr>
          <w:rFonts w:ascii="Arial" w:hAnsi="Arial" w:cs="Arial"/>
          <w:sz w:val="20"/>
          <w:szCs w:val="20"/>
        </w:rPr>
      </w:pPr>
      <w:r w:rsidRPr="00051A5D">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051A5D" w:rsidRDefault="00051A5D"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9A74D7" w:rsidP="00A6484B">
      <w:pPr>
        <w:jc w:val="center"/>
        <w:outlineLvl w:val="1"/>
        <w:rPr>
          <w:rFonts w:ascii="Arial" w:hAnsi="Arial" w:cs="Arial"/>
          <w:b/>
          <w:sz w:val="20"/>
          <w:szCs w:val="20"/>
        </w:rPr>
      </w:pPr>
      <w:r>
        <w:rPr>
          <w:noProof/>
        </w:rPr>
        <w:drawing>
          <wp:inline distT="0" distB="0" distL="0" distR="0" wp14:anchorId="026C4A20" wp14:editId="0F645929">
            <wp:extent cx="3103245" cy="2164080"/>
            <wp:effectExtent l="0" t="0" r="190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lastRenderedPageBreak/>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9A74D7" w:rsidP="007C3F8D">
      <w:pPr>
        <w:jc w:val="center"/>
        <w:outlineLvl w:val="1"/>
        <w:rPr>
          <w:rFonts w:ascii="Arial" w:hAnsi="Arial" w:cs="Arial"/>
          <w:b/>
          <w:sz w:val="20"/>
          <w:szCs w:val="20"/>
        </w:rPr>
      </w:pPr>
      <w:r>
        <w:rPr>
          <w:noProof/>
        </w:rPr>
        <w:drawing>
          <wp:inline distT="0" distB="0" distL="0" distR="0" wp14:anchorId="625259B1" wp14:editId="0C47CCF8">
            <wp:extent cx="3103245" cy="236537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365375"/>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P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4E7442">
        <w:rPr>
          <w:rFonts w:ascii="Arial" w:hAnsi="Arial" w:cs="Arial"/>
          <w:spacing w:val="-6"/>
          <w:sz w:val="20"/>
          <w:szCs w:val="20"/>
        </w:rPr>
        <w:t>66 132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664"/>
        <w:gridCol w:w="994"/>
        <w:gridCol w:w="852"/>
        <w:gridCol w:w="1133"/>
        <w:gridCol w:w="852"/>
        <w:gridCol w:w="992"/>
        <w:gridCol w:w="992"/>
        <w:gridCol w:w="2092"/>
      </w:tblGrid>
      <w:tr w:rsidR="009A74D7" w:rsidRPr="00A934D3" w:rsidTr="009A74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9A74D7" w:rsidRPr="00A934D3" w:rsidRDefault="009A74D7" w:rsidP="002B296A">
            <w:pPr>
              <w:rPr>
                <w:rFonts w:ascii="Arial" w:hAnsi="Arial" w:cs="Arial"/>
                <w:bCs w:val="0"/>
                <w:sz w:val="18"/>
                <w:szCs w:val="18"/>
              </w:rPr>
            </w:pPr>
            <w:r w:rsidRPr="00A934D3">
              <w:rPr>
                <w:rFonts w:ascii="Arial" w:hAnsi="Arial" w:cs="Arial"/>
                <w:sz w:val="18"/>
                <w:szCs w:val="18"/>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сент.-окт. 17</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9A74D7">
              <w:rPr>
                <w:rFonts w:ascii="Arial" w:hAnsi="Arial" w:cs="Arial"/>
                <w:sz w:val="18"/>
                <w:szCs w:val="18"/>
              </w:rPr>
              <w:t>нояб</w:t>
            </w:r>
            <w:proofErr w:type="spellEnd"/>
            <w:proofErr w:type="gramStart"/>
            <w:r w:rsidRPr="009A74D7">
              <w:rPr>
                <w:rFonts w:ascii="Arial" w:hAnsi="Arial" w:cs="Arial"/>
                <w:sz w:val="18"/>
                <w:szCs w:val="18"/>
              </w:rPr>
              <w:t>.-</w:t>
            </w:r>
            <w:proofErr w:type="gramEnd"/>
            <w:r w:rsidRPr="009A74D7">
              <w:rPr>
                <w:rFonts w:ascii="Arial" w:hAnsi="Arial" w:cs="Arial"/>
                <w:sz w:val="18"/>
                <w:szCs w:val="18"/>
              </w:rPr>
              <w:t>дек. 17</w:t>
            </w:r>
          </w:p>
        </w:tc>
        <w:tc>
          <w:tcPr>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янв.-февр. 18</w:t>
            </w:r>
          </w:p>
        </w:tc>
        <w:tc>
          <w:tcPr>
            <w:tcW w:w="44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май-июнь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июль-авг.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Диапазон цен исследуемого интервала</w:t>
            </w:r>
          </w:p>
        </w:tc>
      </w:tr>
      <w:tr w:rsidR="009A74D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9A74D7" w:rsidRPr="00A934D3" w:rsidRDefault="009A74D7" w:rsidP="002B296A">
            <w:pPr>
              <w:rPr>
                <w:rFonts w:ascii="Arial" w:hAnsi="Arial" w:cs="Arial"/>
                <w:b w:val="0"/>
                <w:sz w:val="18"/>
                <w:szCs w:val="18"/>
              </w:rPr>
            </w:pPr>
            <w:r w:rsidRPr="00A934D3">
              <w:rPr>
                <w:rFonts w:ascii="Arial" w:hAnsi="Arial" w:cs="Arial"/>
                <w:b w:val="0"/>
                <w:sz w:val="18"/>
                <w:szCs w:val="18"/>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69 687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68 364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68 736</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67 262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70 099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70 672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25 169 - 117 741</w:t>
            </w:r>
          </w:p>
        </w:tc>
      </w:tr>
      <w:tr w:rsidR="009A74D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9A74D7" w:rsidRPr="00A934D3" w:rsidRDefault="009A74D7" w:rsidP="002B296A">
            <w:pPr>
              <w:rPr>
                <w:rFonts w:ascii="Arial" w:hAnsi="Arial" w:cs="Arial"/>
                <w:b w:val="0"/>
                <w:sz w:val="18"/>
                <w:szCs w:val="18"/>
              </w:rPr>
            </w:pPr>
            <w:r w:rsidRPr="00A934D3">
              <w:rPr>
                <w:rFonts w:ascii="Arial" w:hAnsi="Arial" w:cs="Arial"/>
                <w:b w:val="0"/>
                <w:sz w:val="18"/>
                <w:szCs w:val="18"/>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62 374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64 286</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62 113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66 433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63 649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64 891</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27 692 - 116 666</w:t>
            </w:r>
          </w:p>
        </w:tc>
      </w:tr>
      <w:tr w:rsidR="009A74D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9A74D7" w:rsidRPr="00A934D3" w:rsidRDefault="009A74D7" w:rsidP="002B296A">
            <w:pPr>
              <w:rPr>
                <w:rFonts w:ascii="Arial" w:hAnsi="Arial" w:cs="Arial"/>
                <w:b w:val="0"/>
                <w:sz w:val="18"/>
                <w:szCs w:val="18"/>
              </w:rPr>
            </w:pPr>
            <w:r w:rsidRPr="00A934D3">
              <w:rPr>
                <w:rFonts w:ascii="Arial" w:hAnsi="Arial" w:cs="Arial"/>
                <w:b w:val="0"/>
                <w:sz w:val="18"/>
                <w:szCs w:val="18"/>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64 378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67 178</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61 615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58 730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52 730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57 396</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27 807 - 111 111</w:t>
            </w:r>
          </w:p>
        </w:tc>
      </w:tr>
      <w:tr w:rsidR="009A74D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hideMark/>
          </w:tcPr>
          <w:p w:rsidR="009A74D7" w:rsidRPr="00A934D3" w:rsidRDefault="009A74D7" w:rsidP="002B296A">
            <w:pPr>
              <w:rPr>
                <w:rFonts w:ascii="Arial" w:hAnsi="Arial" w:cs="Arial"/>
                <w:b w:val="0"/>
                <w:sz w:val="18"/>
                <w:szCs w:val="18"/>
              </w:rPr>
            </w:pPr>
            <w:r w:rsidRPr="00A934D3">
              <w:rPr>
                <w:rFonts w:ascii="Arial" w:hAnsi="Arial" w:cs="Arial"/>
                <w:b w:val="0"/>
                <w:sz w:val="18"/>
                <w:szCs w:val="18"/>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62 702</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60 005</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60 908</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66 312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59 573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60 579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9A74D7">
              <w:rPr>
                <w:rFonts w:ascii="Arial" w:hAnsi="Arial" w:cs="Arial"/>
                <w:sz w:val="18"/>
                <w:szCs w:val="18"/>
              </w:rPr>
              <w:t>29 000 - 120 000</w:t>
            </w:r>
          </w:p>
        </w:tc>
      </w:tr>
      <w:tr w:rsidR="009A74D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hideMark/>
          </w:tcPr>
          <w:p w:rsidR="009A74D7" w:rsidRPr="00A934D3" w:rsidRDefault="009A74D7" w:rsidP="002B296A">
            <w:pPr>
              <w:rPr>
                <w:rFonts w:ascii="Arial" w:hAnsi="Arial" w:cs="Arial"/>
                <w:b w:val="0"/>
                <w:sz w:val="18"/>
                <w:szCs w:val="18"/>
              </w:rPr>
            </w:pPr>
            <w:r w:rsidRPr="00A934D3">
              <w:rPr>
                <w:rFonts w:ascii="Arial" w:hAnsi="Arial" w:cs="Arial"/>
                <w:b w:val="0"/>
                <w:sz w:val="18"/>
                <w:szCs w:val="18"/>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67 139</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65 177</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61 813</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58 430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60 851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61 500</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4D7">
              <w:rPr>
                <w:rFonts w:ascii="Arial" w:hAnsi="Arial" w:cs="Arial"/>
                <w:sz w:val="18"/>
                <w:szCs w:val="18"/>
              </w:rPr>
              <w:t>25 454 - 114 864</w:t>
            </w:r>
          </w:p>
        </w:tc>
      </w:tr>
      <w:tr w:rsidR="009A74D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A934D3" w:rsidRDefault="009A74D7" w:rsidP="002B296A">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66 555</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65 744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64 524</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64 843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62 101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65 066</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25 169 - 120 000</w:t>
            </w:r>
          </w:p>
        </w:tc>
      </w:tr>
      <w:tr w:rsidR="009A74D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9"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hideMark/>
          </w:tcPr>
          <w:p w:rsidR="009A74D7" w:rsidRPr="00A934D3" w:rsidRDefault="009A74D7" w:rsidP="002B296A">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101%</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99%</w:t>
            </w:r>
          </w:p>
        </w:tc>
        <w:tc>
          <w:tcPr>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98%</w:t>
            </w:r>
          </w:p>
        </w:tc>
        <w:tc>
          <w:tcPr>
            <w:tcW w:w="445"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98%</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94%</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98%</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w:t>
            </w:r>
          </w:p>
        </w:tc>
      </w:tr>
    </w:tbl>
    <w:p w:rsidR="00287DDF" w:rsidRDefault="00287DDF" w:rsidP="007C3F8D">
      <w:pPr>
        <w:jc w:val="center"/>
        <w:outlineLvl w:val="1"/>
        <w:rPr>
          <w:rFonts w:ascii="Arial" w:hAnsi="Arial" w:cs="Arial"/>
          <w:b/>
          <w:sz w:val="20"/>
          <w:szCs w:val="20"/>
        </w:rPr>
      </w:pPr>
    </w:p>
    <w:p w:rsidR="00287DDF" w:rsidRDefault="00287DDF"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27 598</w:t>
      </w:r>
      <w:r w:rsidRPr="004E7442">
        <w:rPr>
          <w:rFonts w:ascii="Arial" w:hAnsi="Arial" w:cs="Arial"/>
          <w:spacing w:val="-6"/>
          <w:sz w:val="20"/>
          <w:szCs w:val="20"/>
        </w:rPr>
        <w:t xml:space="preserve"> руб./</w:t>
      </w:r>
      <w:proofErr w:type="spellStart"/>
      <w:r w:rsidRPr="004E7442">
        <w:rPr>
          <w:rFonts w:ascii="Arial" w:hAnsi="Arial" w:cs="Arial"/>
          <w:spacing w:val="-6"/>
          <w:sz w:val="20"/>
          <w:szCs w:val="20"/>
        </w:rPr>
        <w:t>кв.м</w:t>
      </w:r>
      <w:proofErr w:type="spellEnd"/>
      <w:r w:rsidRPr="004E7442">
        <w:rPr>
          <w:rFonts w:ascii="Arial" w:hAnsi="Arial" w:cs="Arial"/>
          <w:spacing w:val="-6"/>
          <w:sz w:val="20"/>
          <w:szCs w:val="20"/>
        </w:rPr>
        <w:t>).</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1"/>
        <w:gridCol w:w="993"/>
        <w:gridCol w:w="992"/>
        <w:gridCol w:w="1135"/>
        <w:gridCol w:w="992"/>
        <w:gridCol w:w="992"/>
        <w:gridCol w:w="850"/>
        <w:gridCol w:w="2376"/>
      </w:tblGrid>
      <w:tr w:rsidR="009A74D7" w:rsidRPr="00A934D3" w:rsidTr="009A74D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A74D7" w:rsidRPr="00A934D3" w:rsidRDefault="009A74D7" w:rsidP="002B296A">
            <w:pPr>
              <w:rPr>
                <w:rFonts w:ascii="Arial" w:hAnsi="Arial" w:cs="Arial"/>
                <w:bCs w:val="0"/>
                <w:sz w:val="18"/>
                <w:szCs w:val="18"/>
              </w:rPr>
            </w:pP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сент.-окт. 17</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9A74D7">
              <w:rPr>
                <w:rFonts w:ascii="Arial" w:hAnsi="Arial" w:cs="Arial"/>
                <w:sz w:val="18"/>
                <w:szCs w:val="18"/>
              </w:rPr>
              <w:t>нояб</w:t>
            </w:r>
            <w:proofErr w:type="spellEnd"/>
            <w:proofErr w:type="gramStart"/>
            <w:r w:rsidRPr="009A74D7">
              <w:rPr>
                <w:rFonts w:ascii="Arial" w:hAnsi="Arial" w:cs="Arial"/>
                <w:sz w:val="18"/>
                <w:szCs w:val="18"/>
              </w:rPr>
              <w:t>.-</w:t>
            </w:r>
            <w:proofErr w:type="gramEnd"/>
            <w:r w:rsidRPr="009A74D7">
              <w:rPr>
                <w:rFonts w:ascii="Arial" w:hAnsi="Arial" w:cs="Arial"/>
                <w:sz w:val="18"/>
                <w:szCs w:val="18"/>
              </w:rPr>
              <w:t>дек. 17</w:t>
            </w:r>
          </w:p>
        </w:tc>
        <w:tc>
          <w:tcPr>
            <w:tcW w:w="59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янв.-февр.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май-июнь 18</w:t>
            </w:r>
          </w:p>
        </w:tc>
        <w:tc>
          <w:tcPr>
            <w:tcW w:w="44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июль-авг. 18</w:t>
            </w:r>
          </w:p>
        </w:tc>
        <w:tc>
          <w:tcPr>
            <w:tcW w:w="1241"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9A74D7" w:rsidRPr="009A74D7" w:rsidRDefault="009A74D7" w:rsidP="00CE42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4D7">
              <w:rPr>
                <w:rFonts w:ascii="Arial" w:hAnsi="Arial" w:cs="Arial"/>
                <w:sz w:val="18"/>
                <w:szCs w:val="18"/>
              </w:rPr>
              <w:t>Диапазон цен исследуемого интервала</w:t>
            </w:r>
          </w:p>
        </w:tc>
      </w:tr>
      <w:tr w:rsidR="009A74D7" w:rsidRPr="00A934D3" w:rsidTr="009A74D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rsidR="009A74D7" w:rsidRPr="00A934D3" w:rsidRDefault="009A74D7" w:rsidP="002B296A">
            <w:pPr>
              <w:rPr>
                <w:rFonts w:ascii="Arial" w:hAnsi="Arial" w:cs="Arial"/>
                <w:sz w:val="18"/>
                <w:szCs w:val="18"/>
              </w:rPr>
            </w:pPr>
            <w:r w:rsidRPr="00A934D3">
              <w:rPr>
                <w:rFonts w:ascii="Arial" w:hAnsi="Arial" w:cs="Arial"/>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25 007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25 353</w:t>
            </w:r>
          </w:p>
        </w:tc>
        <w:tc>
          <w:tcPr>
            <w:tcW w:w="5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24 410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25 933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26 565</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25 508</w:t>
            </w:r>
          </w:p>
        </w:tc>
        <w:tc>
          <w:tcPr>
            <w:tcW w:w="1241"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hideMark/>
          </w:tcPr>
          <w:p w:rsidR="009A74D7" w:rsidRPr="009A74D7" w:rsidRDefault="009A74D7"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9A74D7">
              <w:rPr>
                <w:rFonts w:ascii="Arial" w:hAnsi="Arial" w:cs="Arial"/>
                <w:b/>
                <w:bCs/>
                <w:sz w:val="18"/>
                <w:szCs w:val="18"/>
              </w:rPr>
              <w:t>10 857 – 58 000</w:t>
            </w:r>
          </w:p>
        </w:tc>
      </w:tr>
      <w:tr w:rsidR="009A74D7" w:rsidRPr="00A934D3" w:rsidTr="009A74D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8" w:type="pct"/>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hideMark/>
          </w:tcPr>
          <w:p w:rsidR="009A74D7" w:rsidRPr="00A934D3" w:rsidRDefault="009A74D7" w:rsidP="002B296A">
            <w:pPr>
              <w:rPr>
                <w:rFonts w:ascii="Arial" w:hAnsi="Arial" w:cs="Arial"/>
                <w:sz w:val="18"/>
                <w:szCs w:val="18"/>
              </w:rPr>
            </w:pPr>
            <w:r w:rsidRPr="00A934D3">
              <w:rPr>
                <w:rFonts w:ascii="Arial" w:hAnsi="Arial" w:cs="Arial"/>
                <w:sz w:val="18"/>
                <w:szCs w:val="18"/>
              </w:rPr>
              <w:t>Динамика</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91%</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92%</w:t>
            </w:r>
          </w:p>
        </w:tc>
        <w:tc>
          <w:tcPr>
            <w:tcW w:w="593"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88%</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94%</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96%</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92%</w:t>
            </w:r>
          </w:p>
        </w:tc>
        <w:tc>
          <w:tcPr>
            <w:tcW w:w="1241" w:type="pct"/>
            <w:tcBorders>
              <w:top w:val="single" w:sz="4" w:space="0" w:color="BFBFBF" w:themeColor="background1" w:themeShade="BF"/>
              <w:left w:val="single" w:sz="4" w:space="0" w:color="BFBFBF" w:themeColor="background1" w:themeShade="BF"/>
              <w:bottom w:val="single" w:sz="4" w:space="0" w:color="auto"/>
              <w:right w:val="nil"/>
            </w:tcBorders>
            <w:shd w:val="clear" w:color="auto" w:fill="auto"/>
            <w:hideMark/>
          </w:tcPr>
          <w:p w:rsidR="009A74D7" w:rsidRPr="009A74D7" w:rsidRDefault="009A74D7"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A74D7">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A934D3" w:rsidRDefault="00A934D3"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9A74D7" w:rsidRDefault="009A74D7" w:rsidP="002D1E4F">
      <w:pPr>
        <w:ind w:firstLine="709"/>
        <w:jc w:val="both"/>
        <w:rPr>
          <w:rFonts w:ascii="Arial" w:hAnsi="Arial" w:cs="Arial"/>
          <w:sz w:val="20"/>
          <w:szCs w:val="20"/>
        </w:rPr>
      </w:pPr>
      <w:r w:rsidRPr="009A74D7">
        <w:rPr>
          <w:rFonts w:ascii="Arial" w:hAnsi="Arial" w:cs="Arial"/>
          <w:sz w:val="20"/>
          <w:szCs w:val="20"/>
        </w:rPr>
        <w:t>Торгово-офисная недвижимость выставляется на рынок (без учета скидки на торг) в диапазоне от    25 169 руб./</w:t>
      </w:r>
      <w:proofErr w:type="spellStart"/>
      <w:r w:rsidRPr="009A74D7">
        <w:rPr>
          <w:rFonts w:ascii="Arial" w:hAnsi="Arial" w:cs="Arial"/>
          <w:sz w:val="20"/>
          <w:szCs w:val="20"/>
        </w:rPr>
        <w:t>кв.м</w:t>
      </w:r>
      <w:proofErr w:type="spellEnd"/>
      <w:r w:rsidRPr="009A74D7">
        <w:rPr>
          <w:rFonts w:ascii="Arial" w:hAnsi="Arial" w:cs="Arial"/>
          <w:sz w:val="20"/>
          <w:szCs w:val="20"/>
        </w:rPr>
        <w:t>. – 120 000 руб. /</w:t>
      </w:r>
      <w:proofErr w:type="spellStart"/>
      <w:r w:rsidRPr="009A74D7">
        <w:rPr>
          <w:rFonts w:ascii="Arial" w:hAnsi="Arial" w:cs="Arial"/>
          <w:sz w:val="20"/>
          <w:szCs w:val="20"/>
        </w:rPr>
        <w:t>кв.м</w:t>
      </w:r>
      <w:proofErr w:type="spellEnd"/>
      <w:r w:rsidRPr="009A74D7">
        <w:rPr>
          <w:rFonts w:ascii="Arial" w:hAnsi="Arial" w:cs="Arial"/>
          <w:sz w:val="20"/>
          <w:szCs w:val="20"/>
        </w:rPr>
        <w:t>. в зависимости от различных ценообразующих факторов, в среднем же по состоянию на июль-август 2018 г. цена предложения продажи торгово-офисной недвижимости составляет 65 066 руб./</w:t>
      </w:r>
      <w:proofErr w:type="spellStart"/>
      <w:r w:rsidRPr="009A74D7">
        <w:rPr>
          <w:rFonts w:ascii="Arial" w:hAnsi="Arial" w:cs="Arial"/>
          <w:sz w:val="20"/>
          <w:szCs w:val="20"/>
        </w:rPr>
        <w:t>кв.м</w:t>
      </w:r>
      <w:proofErr w:type="spellEnd"/>
      <w:r w:rsidRPr="009A74D7">
        <w:rPr>
          <w:rFonts w:ascii="Arial" w:hAnsi="Arial" w:cs="Arial"/>
          <w:sz w:val="20"/>
          <w:szCs w:val="20"/>
        </w:rPr>
        <w:t>.</w:t>
      </w:r>
    </w:p>
    <w:p w:rsidR="002D1E4F" w:rsidRPr="009A74D7" w:rsidRDefault="009A74D7" w:rsidP="002D1E4F">
      <w:pPr>
        <w:ind w:firstLine="709"/>
        <w:jc w:val="both"/>
        <w:rPr>
          <w:rFonts w:ascii="Arial" w:hAnsi="Arial" w:cs="Arial"/>
          <w:sz w:val="20"/>
          <w:szCs w:val="20"/>
        </w:rPr>
      </w:pPr>
      <w:r w:rsidRPr="009A74D7">
        <w:rPr>
          <w:rFonts w:ascii="Arial" w:hAnsi="Arial" w:cs="Arial"/>
          <w:sz w:val="20"/>
          <w:szCs w:val="20"/>
        </w:rPr>
        <w:t>Производственно-складская недвижимость выставляется на рынок (без учета скидки на торг) в диапазоне от 10 857 руб./</w:t>
      </w:r>
      <w:proofErr w:type="spellStart"/>
      <w:r w:rsidRPr="009A74D7">
        <w:rPr>
          <w:rFonts w:ascii="Arial" w:hAnsi="Arial" w:cs="Arial"/>
          <w:sz w:val="20"/>
          <w:szCs w:val="20"/>
        </w:rPr>
        <w:t>кв.м</w:t>
      </w:r>
      <w:proofErr w:type="spellEnd"/>
      <w:r w:rsidRPr="009A74D7">
        <w:rPr>
          <w:rFonts w:ascii="Arial" w:hAnsi="Arial" w:cs="Arial"/>
          <w:sz w:val="20"/>
          <w:szCs w:val="20"/>
        </w:rPr>
        <w:t>. – 58 000 руб. /</w:t>
      </w:r>
      <w:proofErr w:type="spellStart"/>
      <w:r w:rsidRPr="009A74D7">
        <w:rPr>
          <w:rFonts w:ascii="Arial" w:hAnsi="Arial" w:cs="Arial"/>
          <w:sz w:val="20"/>
          <w:szCs w:val="20"/>
        </w:rPr>
        <w:t>кв.м</w:t>
      </w:r>
      <w:proofErr w:type="spellEnd"/>
      <w:r w:rsidRPr="009A74D7">
        <w:rPr>
          <w:rFonts w:ascii="Arial" w:hAnsi="Arial" w:cs="Arial"/>
          <w:sz w:val="20"/>
          <w:szCs w:val="20"/>
        </w:rPr>
        <w:t>. в зависимости от различных ценообразующих факторов, в среднем же по состоянию на июль-август 2018 г. цена предложения продажи производственно-складской недвижимости составляет 25 508 руб./</w:t>
      </w:r>
      <w:proofErr w:type="spellStart"/>
      <w:r w:rsidRPr="009A74D7">
        <w:rPr>
          <w:rFonts w:ascii="Arial" w:hAnsi="Arial" w:cs="Arial"/>
          <w:sz w:val="20"/>
          <w:szCs w:val="20"/>
        </w:rPr>
        <w:t>кв.м</w:t>
      </w:r>
      <w:proofErr w:type="spellEnd"/>
      <w:r w:rsidRPr="009A74D7">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Динамика рынка недвижимости: наблюдается стагнация средней цены предложений продажи торгово-офисной недвижимости и средней цены предложений продажи производственно-складской недвижимости.</w:t>
      </w:r>
      <w:r w:rsidRPr="00204CB3">
        <w:rPr>
          <w:rFonts w:ascii="Arial" w:hAnsi="Arial" w:cs="Arial"/>
        </w:rPr>
        <w:t xml:space="preserve"> </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277C5E">
      <w:pPr>
        <w:ind w:firstLine="709"/>
        <w:jc w:val="both"/>
        <w:rPr>
          <w:rFonts w:ascii="Arial" w:hAnsi="Arial" w:cs="Arial"/>
          <w:sz w:val="20"/>
          <w:szCs w:val="20"/>
        </w:rPr>
      </w:pPr>
      <w:r w:rsidRPr="00204CB3">
        <w:rPr>
          <w:rFonts w:ascii="Arial" w:hAnsi="Arial" w:cs="Arial"/>
          <w:sz w:val="20"/>
          <w:szCs w:val="20"/>
        </w:rPr>
        <w:lastRenderedPageBreak/>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EE29B5" w:rsidRPr="00204CB3" w:rsidRDefault="00EE29B5"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5C21DD" w:rsidP="00EE29B5">
      <w:pPr>
        <w:ind w:firstLine="709"/>
        <w:jc w:val="center"/>
        <w:rPr>
          <w:rFonts w:ascii="Arial" w:hAnsi="Arial" w:cs="Arial"/>
          <w:b/>
          <w:sz w:val="20"/>
          <w:szCs w:val="20"/>
        </w:rPr>
      </w:pPr>
      <w:r>
        <w:rPr>
          <w:noProof/>
        </w:rPr>
        <w:drawing>
          <wp:inline distT="0" distB="0" distL="0" distR="0" wp14:anchorId="2797FE35" wp14:editId="0CFFFD9D">
            <wp:extent cx="3103245" cy="2164080"/>
            <wp:effectExtent l="0" t="0" r="190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5C21DD">
        <w:rPr>
          <w:noProof/>
          <w:sz w:val="20"/>
          <w:szCs w:val="20"/>
        </w:rPr>
        <w:drawing>
          <wp:inline distT="0" distB="0" distL="0" distR="0" wp14:anchorId="7F1D225B" wp14:editId="1BBBF4CC">
            <wp:extent cx="3103245" cy="2170430"/>
            <wp:effectExtent l="0" t="0" r="190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Pr="00501A56" w:rsidRDefault="00EE29B5" w:rsidP="00EE29B5">
      <w:pPr>
        <w:keepNext/>
        <w:jc w:val="center"/>
        <w:rPr>
          <w:noProof/>
          <w:sz w:val="20"/>
          <w:szCs w:val="20"/>
        </w:rPr>
      </w:pPr>
    </w:p>
    <w:p w:rsidR="00836B2F" w:rsidRDefault="00EE29B5" w:rsidP="005C21DD">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Pr="00036C63">
        <w:rPr>
          <w:rFonts w:ascii="Arial" w:hAnsi="Arial" w:cs="Arial"/>
          <w:spacing w:val="-6"/>
          <w:sz w:val="20"/>
          <w:szCs w:val="20"/>
        </w:rPr>
        <w:t>572 228 руб./сот.).</w:t>
      </w:r>
    </w:p>
    <w:p w:rsidR="00EE29B5" w:rsidRDefault="00EE29B5" w:rsidP="00EE29B5">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6"/>
        <w:gridCol w:w="993"/>
        <w:gridCol w:w="992"/>
        <w:gridCol w:w="993"/>
        <w:gridCol w:w="993"/>
        <w:gridCol w:w="992"/>
        <w:gridCol w:w="1133"/>
        <w:gridCol w:w="1949"/>
      </w:tblGrid>
      <w:tr w:rsidR="005C21DD"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3E1591" w:rsidRDefault="005C21DD" w:rsidP="002B296A">
            <w:pPr>
              <w:rPr>
                <w:rFonts w:ascii="Arial" w:hAnsi="Arial" w:cs="Arial"/>
                <w:b/>
                <w:bCs/>
                <w:sz w:val="16"/>
                <w:szCs w:val="16"/>
              </w:rPr>
            </w:pPr>
            <w:r w:rsidRPr="003E1591">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5C21DD" w:rsidRDefault="005C21DD" w:rsidP="00CE4279">
            <w:pPr>
              <w:jc w:val="center"/>
              <w:rPr>
                <w:rFonts w:ascii="Arial" w:hAnsi="Arial" w:cs="Arial"/>
                <w:b/>
                <w:sz w:val="16"/>
                <w:szCs w:val="16"/>
              </w:rPr>
            </w:pPr>
            <w:proofErr w:type="spellStart"/>
            <w:r w:rsidRPr="005C21DD">
              <w:rPr>
                <w:rFonts w:ascii="Arial" w:hAnsi="Arial" w:cs="Arial"/>
                <w:b/>
                <w:sz w:val="16"/>
                <w:szCs w:val="16"/>
              </w:rPr>
              <w:t>нояб</w:t>
            </w:r>
            <w:proofErr w:type="spellEnd"/>
            <w:proofErr w:type="gramStart"/>
            <w:r w:rsidRPr="005C21DD">
              <w:rPr>
                <w:rFonts w:ascii="Arial" w:hAnsi="Arial" w:cs="Arial"/>
                <w:b/>
                <w:sz w:val="16"/>
                <w:szCs w:val="16"/>
              </w:rPr>
              <w:t>.-</w:t>
            </w:r>
            <w:proofErr w:type="gramEnd"/>
            <w:r w:rsidRPr="005C21DD">
              <w:rPr>
                <w:rFonts w:ascii="Arial" w:hAnsi="Arial" w:cs="Arial"/>
                <w:b/>
                <w:sz w:val="16"/>
                <w:szCs w:val="16"/>
              </w:rPr>
              <w:t>дек.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янв.-февр. 18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май-июнь 18</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июль-авг. 18</w:t>
            </w:r>
          </w:p>
        </w:tc>
        <w:tc>
          <w:tcPr>
            <w:tcW w:w="1018"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Диапазон цен исследуемого интервала</w:t>
            </w:r>
          </w:p>
        </w:tc>
      </w:tr>
      <w:tr w:rsidR="005C21DD"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3E1591" w:rsidRDefault="005C21DD" w:rsidP="002B296A">
            <w:pPr>
              <w:rPr>
                <w:rFonts w:ascii="Arial" w:hAnsi="Arial" w:cs="Arial"/>
                <w:sz w:val="16"/>
                <w:szCs w:val="16"/>
              </w:rPr>
            </w:pPr>
            <w:r w:rsidRPr="003E1591">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1 104 030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1 126 668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1 183 201</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1 323 360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1 185 424</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867 326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80 000 - 3 000 000</w:t>
            </w:r>
          </w:p>
        </w:tc>
      </w:tr>
      <w:tr w:rsidR="005C21DD"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3E1591" w:rsidRDefault="005C21DD" w:rsidP="002B296A">
            <w:pPr>
              <w:rPr>
                <w:rFonts w:ascii="Arial" w:hAnsi="Arial" w:cs="Arial"/>
                <w:sz w:val="16"/>
                <w:szCs w:val="16"/>
              </w:rPr>
            </w:pPr>
            <w:r w:rsidRPr="003E1591">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664 381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704 737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743 638</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699 046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691 797</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762 566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65 476 - 2 333 200</w:t>
            </w:r>
          </w:p>
        </w:tc>
      </w:tr>
      <w:tr w:rsidR="005C21DD"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3E1591" w:rsidRDefault="005C21DD" w:rsidP="002B296A">
            <w:pPr>
              <w:rPr>
                <w:rFonts w:ascii="Arial" w:hAnsi="Arial" w:cs="Arial"/>
                <w:sz w:val="16"/>
                <w:szCs w:val="16"/>
              </w:rPr>
            </w:pPr>
            <w:r w:rsidRPr="003E1591">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400 690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391 474</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402 025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406 736</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404 261</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449 115</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65 000 - 2 000 000</w:t>
            </w:r>
          </w:p>
        </w:tc>
      </w:tr>
      <w:tr w:rsidR="005C21DD"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3E1591" w:rsidRDefault="005C21DD" w:rsidP="002B296A">
            <w:pPr>
              <w:rPr>
                <w:rFonts w:ascii="Arial" w:hAnsi="Arial" w:cs="Arial"/>
                <w:sz w:val="16"/>
                <w:szCs w:val="16"/>
              </w:rPr>
            </w:pPr>
            <w:r w:rsidRPr="003E1591">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699 701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657 319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672 353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631 405</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675 151</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672 216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90 000 - 3 000 000</w:t>
            </w:r>
          </w:p>
        </w:tc>
      </w:tr>
      <w:tr w:rsidR="005C21DD"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5C21DD" w:rsidRPr="003E1591" w:rsidRDefault="005C21DD" w:rsidP="002B296A">
            <w:pPr>
              <w:rPr>
                <w:rFonts w:ascii="Arial" w:hAnsi="Arial" w:cs="Arial"/>
                <w:sz w:val="16"/>
                <w:szCs w:val="16"/>
              </w:rPr>
            </w:pPr>
            <w:r w:rsidRPr="003E1591">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916 756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854 080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904 496</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818 093</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955 226</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21DD" w:rsidRPr="005C21DD" w:rsidRDefault="005C21DD" w:rsidP="00CE4279">
            <w:pPr>
              <w:jc w:val="center"/>
              <w:rPr>
                <w:rFonts w:ascii="Arial" w:hAnsi="Arial" w:cs="Arial"/>
                <w:sz w:val="16"/>
                <w:szCs w:val="16"/>
              </w:rPr>
            </w:pPr>
            <w:r w:rsidRPr="005C21DD">
              <w:rPr>
                <w:rFonts w:ascii="Arial" w:hAnsi="Arial" w:cs="Arial"/>
                <w:sz w:val="16"/>
                <w:szCs w:val="16"/>
              </w:rPr>
              <w:t>855 680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70 000 - 1 485 714</w:t>
            </w:r>
          </w:p>
        </w:tc>
      </w:tr>
      <w:tr w:rsidR="005C21DD" w:rsidRPr="003E1591" w:rsidTr="003E159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3E1591" w:rsidRDefault="005C21DD" w:rsidP="002B296A">
            <w:pPr>
              <w:rPr>
                <w:rFonts w:ascii="Arial" w:hAnsi="Arial" w:cs="Arial"/>
                <w:b/>
                <w:bCs/>
                <w:sz w:val="16"/>
                <w:szCs w:val="16"/>
              </w:rPr>
            </w:pPr>
            <w:r w:rsidRPr="003E1591">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615 336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626 149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642 227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640 547</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640 292</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655 950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65 000 - 3 000 000</w:t>
            </w:r>
          </w:p>
        </w:tc>
      </w:tr>
      <w:tr w:rsidR="005C21DD" w:rsidRPr="003E1591" w:rsidTr="003E159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5C21DD" w:rsidRPr="003E1591" w:rsidRDefault="005C21DD" w:rsidP="002B296A">
            <w:pPr>
              <w:rPr>
                <w:rFonts w:ascii="Arial" w:hAnsi="Arial" w:cs="Arial"/>
                <w:b/>
                <w:sz w:val="16"/>
                <w:szCs w:val="16"/>
              </w:rPr>
            </w:pPr>
            <w:r w:rsidRPr="003E1591">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108%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109%</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112%</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112%</w:t>
            </w:r>
          </w:p>
        </w:tc>
        <w:tc>
          <w:tcPr>
            <w:cnfStyle w:val="000010000000" w:firstRow="0" w:lastRow="0" w:firstColumn="0" w:lastColumn="0" w:oddVBand="1" w:evenVBand="0" w:oddHBand="0" w:evenHBand="0" w:firstRowFirstColumn="0" w:firstRowLastColumn="0" w:lastRowFirstColumn="0" w:lastRowLastColumn="0"/>
            <w:tcW w:w="592"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115%</w:t>
            </w:r>
          </w:p>
        </w:tc>
        <w:tc>
          <w:tcPr>
            <w:tcW w:w="1018"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w:t>
            </w:r>
          </w:p>
        </w:tc>
      </w:tr>
    </w:tbl>
    <w:p w:rsidR="00EE29B5" w:rsidRDefault="00EE29B5" w:rsidP="00EE29B5">
      <w:pPr>
        <w:ind w:firstLine="539"/>
        <w:jc w:val="both"/>
        <w:rPr>
          <w:rFonts w:ascii="Arial" w:hAnsi="Arial" w:cs="Arial"/>
          <w:b/>
          <w:sz w:val="20"/>
          <w:szCs w:val="20"/>
        </w:rPr>
      </w:pPr>
    </w:p>
    <w:p w:rsidR="00EE29B5" w:rsidRDefault="00EE29B5" w:rsidP="00EE29B5">
      <w:pPr>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5C21DD" w:rsidRDefault="005C21DD" w:rsidP="00EE29B5">
      <w:pPr>
        <w:ind w:firstLine="539"/>
        <w:jc w:val="both"/>
        <w:rPr>
          <w:rFonts w:ascii="Arial" w:hAnsi="Arial" w:cs="Arial"/>
          <w:b/>
          <w:sz w:val="20"/>
          <w:szCs w:val="20"/>
        </w:rPr>
      </w:pPr>
    </w:p>
    <w:p w:rsidR="00EE29B5" w:rsidRDefault="00EE29B5" w:rsidP="00EE29B5">
      <w:pPr>
        <w:ind w:firstLine="539"/>
        <w:jc w:val="both"/>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5C21DD" w:rsidP="00EE29B5">
      <w:pPr>
        <w:ind w:firstLine="709"/>
        <w:jc w:val="center"/>
        <w:rPr>
          <w:rFonts w:ascii="Arial" w:hAnsi="Arial" w:cs="Arial"/>
          <w:b/>
          <w:sz w:val="20"/>
          <w:szCs w:val="20"/>
        </w:rPr>
      </w:pPr>
      <w:r>
        <w:rPr>
          <w:noProof/>
          <w:sz w:val="20"/>
          <w:szCs w:val="20"/>
        </w:rPr>
        <w:drawing>
          <wp:inline distT="0" distB="0" distL="0" distR="0" wp14:anchorId="00EF666C" wp14:editId="7B38DDE6">
            <wp:extent cx="3103245" cy="2170430"/>
            <wp:effectExtent l="0" t="0" r="190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3245" cy="217043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803 004</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525"/>
        <w:gridCol w:w="993"/>
        <w:gridCol w:w="992"/>
        <w:gridCol w:w="993"/>
        <w:gridCol w:w="992"/>
        <w:gridCol w:w="992"/>
        <w:gridCol w:w="992"/>
        <w:gridCol w:w="2092"/>
      </w:tblGrid>
      <w:tr w:rsidR="005C21DD" w:rsidRPr="00836B2F" w:rsidTr="002B29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836B2F" w:rsidRDefault="005C21DD" w:rsidP="002B296A">
            <w:pPr>
              <w:rPr>
                <w:rFonts w:ascii="Arial" w:hAnsi="Arial" w:cs="Arial"/>
                <w:b/>
                <w:bCs/>
                <w:sz w:val="16"/>
                <w:szCs w:val="16"/>
              </w:rPr>
            </w:pPr>
            <w:r w:rsidRPr="00836B2F">
              <w:rPr>
                <w:rFonts w:ascii="Arial" w:hAnsi="Arial" w:cs="Arial"/>
                <w:b/>
                <w:bCs/>
                <w:sz w:val="16"/>
                <w:szCs w:val="16"/>
              </w:rPr>
              <w:t>Район</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сент.-окт.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5C21DD" w:rsidRPr="005C21DD" w:rsidRDefault="005C21DD" w:rsidP="00CE4279">
            <w:pPr>
              <w:jc w:val="center"/>
              <w:rPr>
                <w:rFonts w:ascii="Arial" w:hAnsi="Arial" w:cs="Arial"/>
                <w:b/>
                <w:sz w:val="16"/>
                <w:szCs w:val="16"/>
              </w:rPr>
            </w:pPr>
            <w:proofErr w:type="spellStart"/>
            <w:r w:rsidRPr="005C21DD">
              <w:rPr>
                <w:rFonts w:ascii="Arial" w:hAnsi="Arial" w:cs="Arial"/>
                <w:b/>
                <w:sz w:val="16"/>
                <w:szCs w:val="16"/>
              </w:rPr>
              <w:t>нояб</w:t>
            </w:r>
            <w:proofErr w:type="spellEnd"/>
            <w:proofErr w:type="gramStart"/>
            <w:r w:rsidRPr="005C21DD">
              <w:rPr>
                <w:rFonts w:ascii="Arial" w:hAnsi="Arial" w:cs="Arial"/>
                <w:b/>
                <w:sz w:val="16"/>
                <w:szCs w:val="16"/>
              </w:rPr>
              <w:t>.-</w:t>
            </w:r>
            <w:proofErr w:type="gramEnd"/>
            <w:r w:rsidRPr="005C21DD">
              <w:rPr>
                <w:rFonts w:ascii="Arial" w:hAnsi="Arial" w:cs="Arial"/>
                <w:b/>
                <w:sz w:val="16"/>
                <w:szCs w:val="16"/>
              </w:rPr>
              <w:t>дек. 17</w:t>
            </w:r>
          </w:p>
        </w:tc>
        <w:tc>
          <w:tcPr>
            <w:tcW w:w="51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янв.-февр.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март-апр. 18</w:t>
            </w:r>
          </w:p>
        </w:tc>
        <w:tc>
          <w:tcPr>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май-июнь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июль-авг. 18</w:t>
            </w:r>
          </w:p>
        </w:tc>
        <w:tc>
          <w:tcPr>
            <w:tcW w:w="1093"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C21DD">
              <w:rPr>
                <w:rFonts w:ascii="Arial" w:hAnsi="Arial" w:cs="Arial"/>
                <w:b/>
                <w:sz w:val="16"/>
                <w:szCs w:val="16"/>
              </w:rPr>
              <w:t>Диапазон цен исследуемого интервала</w:t>
            </w:r>
          </w:p>
        </w:tc>
      </w:tr>
      <w:tr w:rsidR="005C21DD" w:rsidRPr="00836B2F" w:rsidTr="00351F5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836B2F" w:rsidRDefault="005C21DD" w:rsidP="002B296A">
            <w:pPr>
              <w:rPr>
                <w:rFonts w:ascii="Arial" w:hAnsi="Arial" w:cs="Arial"/>
                <w:sz w:val="16"/>
                <w:szCs w:val="16"/>
              </w:rPr>
            </w:pPr>
            <w:r w:rsidRPr="00836B2F">
              <w:rPr>
                <w:rFonts w:ascii="Arial" w:hAnsi="Arial" w:cs="Arial"/>
                <w:sz w:val="16"/>
                <w:szCs w:val="16"/>
              </w:rPr>
              <w:t>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1 281 653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1 186 839</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1 287 145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1 493 781</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1 250 000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943 025</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154 929 - 2 750 000</w:t>
            </w:r>
          </w:p>
        </w:tc>
      </w:tr>
      <w:tr w:rsidR="005C21DD" w:rsidRPr="00836B2F" w:rsidTr="00351F5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836B2F" w:rsidRDefault="005C21DD" w:rsidP="002B296A">
            <w:pPr>
              <w:rPr>
                <w:rFonts w:ascii="Arial" w:hAnsi="Arial" w:cs="Arial"/>
                <w:sz w:val="16"/>
                <w:szCs w:val="16"/>
              </w:rPr>
            </w:pPr>
            <w:r w:rsidRPr="00836B2F">
              <w:rPr>
                <w:rFonts w:ascii="Arial" w:hAnsi="Arial" w:cs="Arial"/>
                <w:sz w:val="16"/>
                <w:szCs w:val="16"/>
              </w:rPr>
              <w:t>Советский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786 036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741 745</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782 823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603 240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720 372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868 782</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200 000 - 2 790 697</w:t>
            </w:r>
          </w:p>
        </w:tc>
      </w:tr>
      <w:tr w:rsidR="005C21DD" w:rsidRPr="00836B2F" w:rsidTr="00351F5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836B2F" w:rsidRDefault="005C21DD" w:rsidP="002B296A">
            <w:pPr>
              <w:rPr>
                <w:rFonts w:ascii="Arial" w:hAnsi="Arial" w:cs="Arial"/>
                <w:sz w:val="16"/>
                <w:szCs w:val="16"/>
              </w:rPr>
            </w:pPr>
            <w:r w:rsidRPr="00836B2F">
              <w:rPr>
                <w:rFonts w:ascii="Arial" w:hAnsi="Arial" w:cs="Arial"/>
                <w:sz w:val="16"/>
                <w:szCs w:val="16"/>
              </w:rPr>
              <w:t>Северный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618 633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679 768</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692 397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624 029</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569 791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706 944</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100 000 - 2 604 651</w:t>
            </w:r>
          </w:p>
        </w:tc>
      </w:tr>
      <w:tr w:rsidR="005C21DD" w:rsidRPr="00836B2F" w:rsidTr="00351F5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bottom"/>
          </w:tcPr>
          <w:p w:rsidR="005C21DD" w:rsidRPr="00836B2F" w:rsidRDefault="005C21DD" w:rsidP="002B296A">
            <w:pPr>
              <w:rPr>
                <w:rFonts w:ascii="Arial" w:hAnsi="Arial" w:cs="Arial"/>
                <w:sz w:val="16"/>
                <w:szCs w:val="16"/>
              </w:rPr>
            </w:pPr>
            <w:r w:rsidRPr="00836B2F">
              <w:rPr>
                <w:rFonts w:ascii="Arial" w:hAnsi="Arial" w:cs="Arial"/>
                <w:sz w:val="16"/>
                <w:szCs w:val="16"/>
              </w:rPr>
              <w:t>Пролетарский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865 305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840 052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864 181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864 178</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866 923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972 857</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C21DD">
              <w:rPr>
                <w:rFonts w:ascii="Arial" w:hAnsi="Arial" w:cs="Arial"/>
                <w:sz w:val="16"/>
                <w:szCs w:val="16"/>
              </w:rPr>
              <w:t>112 676 - 1 700 000</w:t>
            </w:r>
          </w:p>
        </w:tc>
      </w:tr>
      <w:tr w:rsidR="005C21DD" w:rsidRPr="00836B2F" w:rsidTr="00351F5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bottom"/>
          </w:tcPr>
          <w:p w:rsidR="005C21DD" w:rsidRPr="00836B2F" w:rsidRDefault="005C21DD" w:rsidP="002B296A">
            <w:pPr>
              <w:rPr>
                <w:rFonts w:ascii="Arial" w:hAnsi="Arial" w:cs="Arial"/>
                <w:sz w:val="16"/>
                <w:szCs w:val="16"/>
              </w:rPr>
            </w:pPr>
            <w:r w:rsidRPr="00836B2F">
              <w:rPr>
                <w:rFonts w:ascii="Arial" w:hAnsi="Arial" w:cs="Arial"/>
                <w:sz w:val="16"/>
                <w:szCs w:val="16"/>
              </w:rPr>
              <w:t>Автосборочный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1 124 705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1 040 280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926 470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916 470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1 176 666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5C21DD" w:rsidRPr="005C21DD" w:rsidRDefault="005C21DD" w:rsidP="00CE4279">
            <w:pPr>
              <w:jc w:val="center"/>
              <w:rPr>
                <w:rFonts w:ascii="Arial" w:hAnsi="Arial" w:cs="Arial"/>
                <w:sz w:val="16"/>
                <w:szCs w:val="16"/>
              </w:rPr>
            </w:pPr>
            <w:r w:rsidRPr="005C21DD">
              <w:rPr>
                <w:rFonts w:ascii="Arial" w:hAnsi="Arial" w:cs="Arial"/>
                <w:sz w:val="16"/>
                <w:szCs w:val="16"/>
              </w:rPr>
              <w:t>823 333</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noWrap/>
            <w:vAlign w:val="center"/>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470 000 - 1 500 000</w:t>
            </w:r>
          </w:p>
        </w:tc>
      </w:tr>
      <w:tr w:rsidR="005C21DD" w:rsidRPr="00836B2F" w:rsidTr="00351F5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5C21DD" w:rsidRPr="00836B2F" w:rsidRDefault="005C21DD" w:rsidP="002B296A">
            <w:pPr>
              <w:rPr>
                <w:rFonts w:ascii="Arial" w:hAnsi="Arial" w:cs="Arial"/>
                <w:b/>
                <w:bCs/>
                <w:sz w:val="16"/>
                <w:szCs w:val="16"/>
              </w:rPr>
            </w:pPr>
            <w:r w:rsidRPr="00836B2F">
              <w:rPr>
                <w:rFonts w:ascii="Arial" w:hAnsi="Arial" w:cs="Arial"/>
                <w:b/>
                <w:bCs/>
                <w:sz w:val="16"/>
                <w:szCs w:val="16"/>
              </w:rPr>
              <w:t>Средняя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903 954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878 632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857 325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834 680</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800 443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rsidR="005C21DD" w:rsidRPr="005C21DD" w:rsidRDefault="005C21DD" w:rsidP="00CE4279">
            <w:pPr>
              <w:jc w:val="center"/>
              <w:rPr>
                <w:rFonts w:ascii="Arial" w:hAnsi="Arial" w:cs="Arial"/>
                <w:b/>
                <w:bCs/>
                <w:sz w:val="16"/>
                <w:szCs w:val="16"/>
              </w:rPr>
            </w:pPr>
            <w:r w:rsidRPr="005C21DD">
              <w:rPr>
                <w:rFonts w:ascii="Arial" w:hAnsi="Arial" w:cs="Arial"/>
                <w:b/>
                <w:bCs/>
                <w:sz w:val="16"/>
                <w:szCs w:val="16"/>
              </w:rPr>
              <w:t>836 569</w:t>
            </w:r>
          </w:p>
        </w:tc>
        <w:tc>
          <w:tcPr>
            <w:tcW w:w="1093"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5C21DD" w:rsidRPr="005C21DD" w:rsidRDefault="005C21DD" w:rsidP="00CE42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sidRPr="005C21DD">
              <w:rPr>
                <w:rFonts w:ascii="Arial" w:hAnsi="Arial" w:cs="Arial"/>
                <w:b/>
                <w:bCs/>
                <w:sz w:val="16"/>
                <w:szCs w:val="16"/>
              </w:rPr>
              <w:t>100 000 - 2 790 697</w:t>
            </w:r>
          </w:p>
        </w:tc>
      </w:tr>
      <w:tr w:rsidR="005C21DD" w:rsidRPr="00836B2F" w:rsidTr="002B29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797" w:type="pct"/>
            <w:tcBorders>
              <w:top w:val="single" w:sz="4" w:space="0" w:color="BFBFBF" w:themeColor="background1" w:themeShade="BF"/>
              <w:left w:val="nil"/>
              <w:bottom w:val="single" w:sz="4" w:space="0" w:color="auto"/>
              <w:right w:val="single" w:sz="4" w:space="0" w:color="FFFFFF" w:themeColor="background1"/>
            </w:tcBorders>
            <w:shd w:val="clear" w:color="auto" w:fill="BFBFBF" w:themeFill="background1" w:themeFillShade="BF"/>
            <w:vAlign w:val="center"/>
          </w:tcPr>
          <w:p w:rsidR="005C21DD" w:rsidRPr="00836B2F" w:rsidRDefault="005C21DD" w:rsidP="002B296A">
            <w:pPr>
              <w:rPr>
                <w:rFonts w:ascii="Arial" w:hAnsi="Arial" w:cs="Arial"/>
                <w:b/>
                <w:sz w:val="16"/>
                <w:szCs w:val="16"/>
              </w:rPr>
            </w:pPr>
            <w:r w:rsidRPr="00836B2F">
              <w:rPr>
                <w:rFonts w:ascii="Arial" w:hAnsi="Arial" w:cs="Arial"/>
                <w:b/>
                <w:sz w:val="16"/>
                <w:szCs w:val="16"/>
              </w:rPr>
              <w:t>Динамика</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113%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109%</w:t>
            </w:r>
          </w:p>
        </w:tc>
        <w:tc>
          <w:tcPr>
            <w:tcW w:w="519"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107%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104%</w:t>
            </w:r>
          </w:p>
        </w:tc>
        <w:tc>
          <w:tcPr>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5C21DD">
              <w:rPr>
                <w:rFonts w:ascii="Arial" w:hAnsi="Arial" w:cs="Arial"/>
                <w:b/>
                <w:sz w:val="16"/>
                <w:szCs w:val="16"/>
              </w:rPr>
              <w:t>100%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FFFFFF" w:themeColor="background1"/>
              <w:bottom w:val="single" w:sz="4" w:space="0" w:color="auto"/>
              <w:right w:val="single" w:sz="4" w:space="0" w:color="FFFFFF" w:themeColor="background1"/>
            </w:tcBorders>
            <w:shd w:val="clear" w:color="auto" w:fill="BFBFBF" w:themeFill="background1" w:themeFillShade="BF"/>
            <w:vAlign w:val="bottom"/>
          </w:tcPr>
          <w:p w:rsidR="005C21DD" w:rsidRPr="005C21DD" w:rsidRDefault="005C21DD" w:rsidP="00CE4279">
            <w:pPr>
              <w:jc w:val="center"/>
              <w:rPr>
                <w:rFonts w:ascii="Arial" w:hAnsi="Arial" w:cs="Arial"/>
                <w:b/>
                <w:sz w:val="16"/>
                <w:szCs w:val="16"/>
              </w:rPr>
            </w:pPr>
            <w:r w:rsidRPr="005C21DD">
              <w:rPr>
                <w:rFonts w:ascii="Arial" w:hAnsi="Arial" w:cs="Arial"/>
                <w:b/>
                <w:sz w:val="16"/>
                <w:szCs w:val="16"/>
              </w:rPr>
              <w:t>104%</w:t>
            </w:r>
          </w:p>
        </w:tc>
        <w:tc>
          <w:tcPr>
            <w:tcW w:w="1093" w:type="pct"/>
            <w:tcBorders>
              <w:top w:val="single" w:sz="4" w:space="0" w:color="BFBFBF" w:themeColor="background1" w:themeShade="BF"/>
              <w:left w:val="single" w:sz="4" w:space="0" w:color="FFFFFF" w:themeColor="background1"/>
              <w:bottom w:val="single" w:sz="4" w:space="0" w:color="auto"/>
              <w:right w:val="nil"/>
            </w:tcBorders>
            <w:shd w:val="clear" w:color="auto" w:fill="BFBFBF" w:themeFill="background1" w:themeFillShade="BF"/>
          </w:tcPr>
          <w:p w:rsidR="005C21DD" w:rsidRPr="005C21DD" w:rsidRDefault="005C21DD" w:rsidP="00CE427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C21DD">
              <w:rPr>
                <w:rFonts w:ascii="Arial" w:hAnsi="Arial" w:cs="Arial"/>
                <w:sz w:val="16"/>
                <w:szCs w:val="16"/>
              </w:rPr>
              <w:t>-</w:t>
            </w:r>
          </w:p>
        </w:tc>
      </w:tr>
    </w:tbl>
    <w:p w:rsidR="00EE29B5" w:rsidRDefault="00EE29B5" w:rsidP="00EE29B5">
      <w:pPr>
        <w:rPr>
          <w:rFonts w:ascii="Arial" w:hAnsi="Arial" w:cs="Arial"/>
          <w:b/>
          <w:sz w:val="20"/>
          <w:szCs w:val="20"/>
        </w:rPr>
      </w:pPr>
    </w:p>
    <w:p w:rsidR="005C21DD" w:rsidRDefault="005C21DD" w:rsidP="00EE29B5">
      <w:pPr>
        <w:jc w:val="center"/>
        <w:outlineLvl w:val="1"/>
        <w:rPr>
          <w:rFonts w:ascii="Arial" w:hAnsi="Arial" w:cs="Arial"/>
          <w:b/>
          <w:sz w:val="20"/>
          <w:szCs w:val="20"/>
        </w:rPr>
      </w:pPr>
    </w:p>
    <w:p w:rsidR="00EE29B5" w:rsidRPr="002D1E4F" w:rsidRDefault="00EE29B5" w:rsidP="00EE29B5">
      <w:pPr>
        <w:jc w:val="center"/>
        <w:outlineLvl w:val="1"/>
        <w:rPr>
          <w:rFonts w:ascii="Arial" w:hAnsi="Arial" w:cs="Arial"/>
          <w:b/>
          <w:sz w:val="20"/>
          <w:szCs w:val="20"/>
        </w:rPr>
      </w:pPr>
      <w:r w:rsidRPr="002D1E4F">
        <w:rPr>
          <w:rFonts w:ascii="Arial" w:hAnsi="Arial" w:cs="Arial"/>
          <w:b/>
          <w:sz w:val="20"/>
          <w:szCs w:val="20"/>
        </w:rPr>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77C5E" w:rsidRDefault="00EE29B5" w:rsidP="00EE29B5">
      <w:pPr>
        <w:ind w:firstLine="709"/>
        <w:jc w:val="both"/>
        <w:rPr>
          <w:rFonts w:ascii="Arial" w:hAnsi="Arial" w:cs="Arial"/>
          <w:sz w:val="20"/>
          <w:szCs w:val="20"/>
        </w:rPr>
      </w:pPr>
      <w:r w:rsidRPr="00277C5E">
        <w:rPr>
          <w:rFonts w:ascii="Arial" w:hAnsi="Arial" w:cs="Arial"/>
          <w:sz w:val="20"/>
          <w:szCs w:val="20"/>
        </w:rPr>
        <w:t>Проведенный анализ рынка показал следующее:</w:t>
      </w:r>
    </w:p>
    <w:p w:rsidR="005C21DD" w:rsidRPr="005C21DD" w:rsidRDefault="005C21DD" w:rsidP="005C21DD">
      <w:pPr>
        <w:ind w:firstLine="709"/>
        <w:jc w:val="both"/>
        <w:rPr>
          <w:rFonts w:ascii="Arial" w:hAnsi="Arial" w:cs="Arial"/>
          <w:sz w:val="20"/>
          <w:szCs w:val="20"/>
        </w:rPr>
      </w:pPr>
      <w:r w:rsidRPr="005C21DD">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65 000 руб./сот. – 3 000 000 руб. /сот</w:t>
      </w:r>
      <w:proofErr w:type="gramStart"/>
      <w:r w:rsidRPr="005C21DD">
        <w:rPr>
          <w:rFonts w:ascii="Arial" w:hAnsi="Arial" w:cs="Arial"/>
          <w:sz w:val="20"/>
          <w:szCs w:val="20"/>
        </w:rPr>
        <w:t>.</w:t>
      </w:r>
      <w:proofErr w:type="gramEnd"/>
      <w:r w:rsidRPr="005C21DD">
        <w:rPr>
          <w:rFonts w:ascii="Arial" w:hAnsi="Arial" w:cs="Arial"/>
          <w:sz w:val="20"/>
          <w:szCs w:val="20"/>
        </w:rPr>
        <w:t xml:space="preserve"> </w:t>
      </w:r>
      <w:proofErr w:type="gramStart"/>
      <w:r w:rsidRPr="005C21DD">
        <w:rPr>
          <w:rFonts w:ascii="Arial" w:hAnsi="Arial" w:cs="Arial"/>
          <w:sz w:val="20"/>
          <w:szCs w:val="20"/>
        </w:rPr>
        <w:t>в</w:t>
      </w:r>
      <w:proofErr w:type="gramEnd"/>
      <w:r w:rsidRPr="005C21DD">
        <w:rPr>
          <w:rFonts w:ascii="Arial" w:hAnsi="Arial" w:cs="Arial"/>
          <w:sz w:val="20"/>
          <w:szCs w:val="20"/>
        </w:rPr>
        <w:t xml:space="preserve"> зависимости от различных ценообразующих факторов, в среднем же по состоянию на июль-август 2018 г. цена предложения земельных участков под ИЖС составляет 655 950 руб./сот.</w:t>
      </w:r>
    </w:p>
    <w:p w:rsidR="005C21DD" w:rsidRPr="005C21DD" w:rsidRDefault="005C21DD" w:rsidP="005C21DD">
      <w:pPr>
        <w:ind w:firstLine="709"/>
        <w:jc w:val="both"/>
        <w:rPr>
          <w:rFonts w:ascii="Arial" w:hAnsi="Arial" w:cs="Arial"/>
          <w:sz w:val="20"/>
          <w:szCs w:val="20"/>
        </w:rPr>
      </w:pPr>
      <w:r w:rsidRPr="005C21DD">
        <w:rPr>
          <w:rFonts w:ascii="Arial" w:hAnsi="Arial" w:cs="Arial"/>
          <w:sz w:val="20"/>
          <w:szCs w:val="20"/>
        </w:rPr>
        <w:t>Цена предложения земельных участков под коммерческую застройку в диапазоне от 100 000 руб./сот. – 2 790 697 руб. /сот</w:t>
      </w:r>
      <w:proofErr w:type="gramStart"/>
      <w:r w:rsidRPr="005C21DD">
        <w:rPr>
          <w:rFonts w:ascii="Arial" w:hAnsi="Arial" w:cs="Arial"/>
          <w:sz w:val="20"/>
          <w:szCs w:val="20"/>
        </w:rPr>
        <w:t>.</w:t>
      </w:r>
      <w:proofErr w:type="gramEnd"/>
      <w:r w:rsidRPr="005C21DD">
        <w:rPr>
          <w:rFonts w:ascii="Arial" w:hAnsi="Arial" w:cs="Arial"/>
          <w:sz w:val="20"/>
          <w:szCs w:val="20"/>
        </w:rPr>
        <w:t xml:space="preserve"> (</w:t>
      </w:r>
      <w:proofErr w:type="gramStart"/>
      <w:r w:rsidRPr="005C21DD">
        <w:rPr>
          <w:rFonts w:ascii="Arial" w:hAnsi="Arial" w:cs="Arial"/>
          <w:sz w:val="20"/>
          <w:szCs w:val="20"/>
        </w:rPr>
        <w:t>б</w:t>
      </w:r>
      <w:proofErr w:type="gramEnd"/>
      <w:r w:rsidRPr="005C21DD">
        <w:rPr>
          <w:rFonts w:ascii="Arial" w:hAnsi="Arial" w:cs="Arial"/>
          <w:sz w:val="20"/>
          <w:szCs w:val="20"/>
        </w:rPr>
        <w:t>ез учета скидки на торг) составляет 836 569 руб./сот.</w:t>
      </w:r>
    </w:p>
    <w:p w:rsidR="00277C5E" w:rsidRPr="005C21DD" w:rsidRDefault="005C21DD" w:rsidP="005C21DD">
      <w:pPr>
        <w:ind w:firstLine="709"/>
        <w:jc w:val="both"/>
        <w:rPr>
          <w:rFonts w:ascii="Arial" w:hAnsi="Arial" w:cs="Arial"/>
          <w:sz w:val="20"/>
          <w:szCs w:val="20"/>
        </w:rPr>
      </w:pPr>
      <w:r w:rsidRPr="005C21DD">
        <w:rPr>
          <w:rFonts w:ascii="Arial" w:hAnsi="Arial" w:cs="Arial"/>
          <w:sz w:val="20"/>
          <w:szCs w:val="20"/>
        </w:rPr>
        <w:t xml:space="preserve">Динамика рынка недвижимости: наблюдается рост средней цены предложения земельных участков под </w:t>
      </w:r>
      <w:bookmarkStart w:id="0" w:name="_GoBack"/>
      <w:bookmarkEnd w:id="0"/>
      <w:r w:rsidRPr="005C21DD">
        <w:rPr>
          <w:rFonts w:ascii="Arial" w:hAnsi="Arial" w:cs="Arial"/>
          <w:sz w:val="20"/>
          <w:szCs w:val="20"/>
        </w:rPr>
        <w:t>ИЖС и падение средней цены предложения земельных участков под коммерческую застройку.</w:t>
      </w:r>
      <w:r w:rsidR="00277C5E" w:rsidRPr="005C21DD">
        <w:rPr>
          <w:rFonts w:ascii="Arial" w:hAnsi="Arial" w:cs="Arial"/>
          <w:sz w:val="20"/>
          <w:szCs w:val="20"/>
        </w:rPr>
        <w:t xml:space="preserve"> </w:t>
      </w:r>
    </w:p>
    <w:p w:rsidR="00277C5E" w:rsidRPr="00277C5E" w:rsidRDefault="00277C5E" w:rsidP="00277C5E">
      <w:pPr>
        <w:ind w:firstLine="709"/>
        <w:jc w:val="both"/>
        <w:rPr>
          <w:rFonts w:ascii="Arial" w:hAnsi="Arial" w:cs="Arial"/>
          <w:sz w:val="20"/>
          <w:szCs w:val="20"/>
        </w:rPr>
      </w:pPr>
      <w:r w:rsidRPr="00277C5E">
        <w:rPr>
          <w:rFonts w:ascii="Arial" w:hAnsi="Arial" w:cs="Arial"/>
          <w:sz w:val="20"/>
          <w:szCs w:val="20"/>
        </w:rPr>
        <w:t>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2D1E4F" w:rsidRPr="00277C5E" w:rsidRDefault="00277C5E" w:rsidP="00277C5E">
      <w:pPr>
        <w:ind w:firstLine="709"/>
        <w:jc w:val="both"/>
        <w:rPr>
          <w:rFonts w:ascii="Arial" w:hAnsi="Arial" w:cs="Arial"/>
          <w:i/>
          <w:sz w:val="20"/>
          <w:szCs w:val="20"/>
        </w:rPr>
      </w:pPr>
      <w:r w:rsidRPr="00277C5E">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sectPr w:rsidR="002D1E4F" w:rsidRPr="00277C5E"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AF" w:rsidRDefault="006C29AF" w:rsidP="00D06CB8">
      <w:r>
        <w:separator/>
      </w:r>
    </w:p>
  </w:endnote>
  <w:endnote w:type="continuationSeparator" w:id="0">
    <w:p w:rsidR="006C29AF" w:rsidRDefault="006C29AF"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AF" w:rsidRDefault="006C29AF" w:rsidP="00D06CB8">
      <w:r>
        <w:separator/>
      </w:r>
    </w:p>
  </w:footnote>
  <w:footnote w:type="continuationSeparator" w:id="0">
    <w:p w:rsidR="006C29AF" w:rsidRDefault="006C29AF" w:rsidP="00D0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BE9"/>
    <w:rsid w:val="00036C63"/>
    <w:rsid w:val="00042542"/>
    <w:rsid w:val="00043520"/>
    <w:rsid w:val="00051A5D"/>
    <w:rsid w:val="00061A43"/>
    <w:rsid w:val="00083392"/>
    <w:rsid w:val="00092979"/>
    <w:rsid w:val="000931D2"/>
    <w:rsid w:val="000A10AD"/>
    <w:rsid w:val="000A3B44"/>
    <w:rsid w:val="000C54B6"/>
    <w:rsid w:val="000E2859"/>
    <w:rsid w:val="000F2142"/>
    <w:rsid w:val="00100C87"/>
    <w:rsid w:val="0010237B"/>
    <w:rsid w:val="00114E0B"/>
    <w:rsid w:val="00122BD3"/>
    <w:rsid w:val="00126DE8"/>
    <w:rsid w:val="00151D7B"/>
    <w:rsid w:val="0016047E"/>
    <w:rsid w:val="001626D4"/>
    <w:rsid w:val="00171266"/>
    <w:rsid w:val="00175F03"/>
    <w:rsid w:val="001953BE"/>
    <w:rsid w:val="001A0DDC"/>
    <w:rsid w:val="001D6FF2"/>
    <w:rsid w:val="001E2E10"/>
    <w:rsid w:val="001F01BC"/>
    <w:rsid w:val="00204CB3"/>
    <w:rsid w:val="00226290"/>
    <w:rsid w:val="0024360A"/>
    <w:rsid w:val="00244DD0"/>
    <w:rsid w:val="00250A15"/>
    <w:rsid w:val="00253FF1"/>
    <w:rsid w:val="00257D55"/>
    <w:rsid w:val="002724A1"/>
    <w:rsid w:val="00277C5E"/>
    <w:rsid w:val="002832B8"/>
    <w:rsid w:val="00287605"/>
    <w:rsid w:val="00287DDF"/>
    <w:rsid w:val="00296811"/>
    <w:rsid w:val="002A1156"/>
    <w:rsid w:val="002A1C23"/>
    <w:rsid w:val="002A56E1"/>
    <w:rsid w:val="002D1E4F"/>
    <w:rsid w:val="002D1E9F"/>
    <w:rsid w:val="002E4D02"/>
    <w:rsid w:val="002F626B"/>
    <w:rsid w:val="003007EC"/>
    <w:rsid w:val="003121AF"/>
    <w:rsid w:val="003146B1"/>
    <w:rsid w:val="00321DAE"/>
    <w:rsid w:val="00330404"/>
    <w:rsid w:val="0034597F"/>
    <w:rsid w:val="003465E8"/>
    <w:rsid w:val="00347325"/>
    <w:rsid w:val="0035720C"/>
    <w:rsid w:val="00360F98"/>
    <w:rsid w:val="00384998"/>
    <w:rsid w:val="00385E1F"/>
    <w:rsid w:val="00386691"/>
    <w:rsid w:val="003A133B"/>
    <w:rsid w:val="003A6E30"/>
    <w:rsid w:val="003B3C94"/>
    <w:rsid w:val="003B3E08"/>
    <w:rsid w:val="003D0E85"/>
    <w:rsid w:val="003D53B9"/>
    <w:rsid w:val="003E1591"/>
    <w:rsid w:val="003F535E"/>
    <w:rsid w:val="00426F70"/>
    <w:rsid w:val="004317E8"/>
    <w:rsid w:val="00432021"/>
    <w:rsid w:val="00440C76"/>
    <w:rsid w:val="004439DC"/>
    <w:rsid w:val="00444E16"/>
    <w:rsid w:val="00446952"/>
    <w:rsid w:val="00487975"/>
    <w:rsid w:val="00497175"/>
    <w:rsid w:val="004A4F09"/>
    <w:rsid w:val="004B0921"/>
    <w:rsid w:val="004D32E6"/>
    <w:rsid w:val="004E7442"/>
    <w:rsid w:val="005006BA"/>
    <w:rsid w:val="00525D0F"/>
    <w:rsid w:val="00532F5C"/>
    <w:rsid w:val="00536204"/>
    <w:rsid w:val="005408F5"/>
    <w:rsid w:val="00541CE2"/>
    <w:rsid w:val="0055176E"/>
    <w:rsid w:val="00553033"/>
    <w:rsid w:val="005533D5"/>
    <w:rsid w:val="005577DC"/>
    <w:rsid w:val="005676C4"/>
    <w:rsid w:val="00573E44"/>
    <w:rsid w:val="00574E3F"/>
    <w:rsid w:val="00594B6E"/>
    <w:rsid w:val="005A0B0E"/>
    <w:rsid w:val="005A573D"/>
    <w:rsid w:val="005A7642"/>
    <w:rsid w:val="005C21DD"/>
    <w:rsid w:val="005E31AA"/>
    <w:rsid w:val="005E5A29"/>
    <w:rsid w:val="005E68E3"/>
    <w:rsid w:val="005F5ABC"/>
    <w:rsid w:val="0061300E"/>
    <w:rsid w:val="006340C2"/>
    <w:rsid w:val="006346B2"/>
    <w:rsid w:val="00634B9C"/>
    <w:rsid w:val="006475AC"/>
    <w:rsid w:val="006479EF"/>
    <w:rsid w:val="00647F9C"/>
    <w:rsid w:val="00657B4E"/>
    <w:rsid w:val="00664E7C"/>
    <w:rsid w:val="00673A93"/>
    <w:rsid w:val="00677E63"/>
    <w:rsid w:val="00681252"/>
    <w:rsid w:val="00681804"/>
    <w:rsid w:val="00687811"/>
    <w:rsid w:val="00691C6E"/>
    <w:rsid w:val="006932F2"/>
    <w:rsid w:val="006936E0"/>
    <w:rsid w:val="006B3E43"/>
    <w:rsid w:val="006C29AF"/>
    <w:rsid w:val="006C3FD7"/>
    <w:rsid w:val="006D03F4"/>
    <w:rsid w:val="006F279E"/>
    <w:rsid w:val="006F75C2"/>
    <w:rsid w:val="00705DE7"/>
    <w:rsid w:val="007177FA"/>
    <w:rsid w:val="007344E9"/>
    <w:rsid w:val="007367F0"/>
    <w:rsid w:val="00747FD5"/>
    <w:rsid w:val="0077311F"/>
    <w:rsid w:val="007739D4"/>
    <w:rsid w:val="007819F3"/>
    <w:rsid w:val="00783ED0"/>
    <w:rsid w:val="0079102D"/>
    <w:rsid w:val="007A1EA6"/>
    <w:rsid w:val="007A636D"/>
    <w:rsid w:val="007B7B32"/>
    <w:rsid w:val="007C0E23"/>
    <w:rsid w:val="007C3F8D"/>
    <w:rsid w:val="007C52BF"/>
    <w:rsid w:val="007D1B88"/>
    <w:rsid w:val="007E11A5"/>
    <w:rsid w:val="007F0595"/>
    <w:rsid w:val="00805D83"/>
    <w:rsid w:val="0081352B"/>
    <w:rsid w:val="0081534E"/>
    <w:rsid w:val="00816A96"/>
    <w:rsid w:val="00822055"/>
    <w:rsid w:val="00835352"/>
    <w:rsid w:val="00836B2F"/>
    <w:rsid w:val="0085145F"/>
    <w:rsid w:val="008778DB"/>
    <w:rsid w:val="00884B18"/>
    <w:rsid w:val="00892393"/>
    <w:rsid w:val="008967BE"/>
    <w:rsid w:val="008977D1"/>
    <w:rsid w:val="008A0238"/>
    <w:rsid w:val="008A4D7B"/>
    <w:rsid w:val="008B1DDE"/>
    <w:rsid w:val="008B5251"/>
    <w:rsid w:val="008B7FE3"/>
    <w:rsid w:val="008C0E43"/>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52F"/>
    <w:rsid w:val="009846AC"/>
    <w:rsid w:val="009A74D7"/>
    <w:rsid w:val="009B7FA4"/>
    <w:rsid w:val="009D5CE9"/>
    <w:rsid w:val="009E0E89"/>
    <w:rsid w:val="009E30B6"/>
    <w:rsid w:val="009F190E"/>
    <w:rsid w:val="009F40A2"/>
    <w:rsid w:val="00A0513B"/>
    <w:rsid w:val="00A10963"/>
    <w:rsid w:val="00A1476E"/>
    <w:rsid w:val="00A2705D"/>
    <w:rsid w:val="00A44821"/>
    <w:rsid w:val="00A45721"/>
    <w:rsid w:val="00A555BD"/>
    <w:rsid w:val="00A6484B"/>
    <w:rsid w:val="00A934D3"/>
    <w:rsid w:val="00AB0E1F"/>
    <w:rsid w:val="00AC08E9"/>
    <w:rsid w:val="00AC2A5C"/>
    <w:rsid w:val="00AC7B0D"/>
    <w:rsid w:val="00AD6C98"/>
    <w:rsid w:val="00AF6C45"/>
    <w:rsid w:val="00AF7F1A"/>
    <w:rsid w:val="00B00FF2"/>
    <w:rsid w:val="00B14967"/>
    <w:rsid w:val="00B25FAD"/>
    <w:rsid w:val="00B3341F"/>
    <w:rsid w:val="00B37E7F"/>
    <w:rsid w:val="00B43185"/>
    <w:rsid w:val="00B94940"/>
    <w:rsid w:val="00BB52AE"/>
    <w:rsid w:val="00BB71FF"/>
    <w:rsid w:val="00BD0E9F"/>
    <w:rsid w:val="00BD5388"/>
    <w:rsid w:val="00BF78B8"/>
    <w:rsid w:val="00C108EF"/>
    <w:rsid w:val="00C11DE4"/>
    <w:rsid w:val="00C15454"/>
    <w:rsid w:val="00C20C6B"/>
    <w:rsid w:val="00C232A0"/>
    <w:rsid w:val="00C26B6B"/>
    <w:rsid w:val="00C33EE1"/>
    <w:rsid w:val="00C3606F"/>
    <w:rsid w:val="00C37817"/>
    <w:rsid w:val="00C4215E"/>
    <w:rsid w:val="00C6671E"/>
    <w:rsid w:val="00C7007C"/>
    <w:rsid w:val="00C71606"/>
    <w:rsid w:val="00C75DB8"/>
    <w:rsid w:val="00C83E8A"/>
    <w:rsid w:val="00C9555E"/>
    <w:rsid w:val="00C96196"/>
    <w:rsid w:val="00C9634C"/>
    <w:rsid w:val="00C97854"/>
    <w:rsid w:val="00CC1B3D"/>
    <w:rsid w:val="00CD0698"/>
    <w:rsid w:val="00CD74AA"/>
    <w:rsid w:val="00D0330B"/>
    <w:rsid w:val="00D06CB8"/>
    <w:rsid w:val="00D46ABB"/>
    <w:rsid w:val="00D90668"/>
    <w:rsid w:val="00D930CD"/>
    <w:rsid w:val="00D95F30"/>
    <w:rsid w:val="00DD3FC4"/>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166F"/>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B756-FF4A-4E95-8DB2-750F988D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131</cp:revision>
  <cp:lastPrinted>2018-01-30T08:17:00Z</cp:lastPrinted>
  <dcterms:created xsi:type="dcterms:W3CDTF">2017-04-03T07:33:00Z</dcterms:created>
  <dcterms:modified xsi:type="dcterms:W3CDTF">2018-10-11T06:40:00Z</dcterms:modified>
</cp:coreProperties>
</file>