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FCF" w:rsidRPr="00FB6ADA" w:rsidRDefault="00162FCF" w:rsidP="00162FCF">
      <w:pPr>
        <w:spacing w:line="240" w:lineRule="exact"/>
        <w:jc w:val="center"/>
        <w:rPr>
          <w:rFonts w:ascii="Arial" w:hAnsi="Arial" w:cs="Arial"/>
          <w:b/>
        </w:rPr>
      </w:pPr>
      <w:r w:rsidRPr="00FB6ADA">
        <w:rPr>
          <w:rFonts w:ascii="Arial" w:hAnsi="Arial" w:cs="Arial"/>
          <w:b/>
        </w:rPr>
        <w:t xml:space="preserve">Основные социально-экономические показатели Республики Калмыкия </w:t>
      </w:r>
    </w:p>
    <w:p w:rsidR="00162FCF" w:rsidRPr="00FB6ADA" w:rsidRDefault="00162FCF" w:rsidP="00162FCF">
      <w:pPr>
        <w:spacing w:line="240" w:lineRule="exact"/>
        <w:jc w:val="center"/>
        <w:rPr>
          <w:rFonts w:ascii="Arial" w:hAnsi="Arial" w:cs="Arial"/>
          <w:b/>
        </w:rPr>
      </w:pPr>
      <w:r w:rsidRPr="00FB6ADA">
        <w:rPr>
          <w:rFonts w:ascii="Arial" w:hAnsi="Arial" w:cs="Arial"/>
          <w:b/>
        </w:rPr>
        <w:t>за 2012-1016 г.г.</w:t>
      </w:r>
      <w:r w:rsidRPr="00FB6ADA">
        <w:rPr>
          <w:rStyle w:val="a6"/>
          <w:rFonts w:ascii="Arial" w:hAnsi="Arial" w:cs="Arial"/>
          <w:b/>
        </w:rPr>
        <w:footnoteReference w:id="1"/>
      </w:r>
    </w:p>
    <w:p w:rsidR="00162FCF" w:rsidRPr="00FB6ADA" w:rsidRDefault="00162FCF" w:rsidP="00162FCF">
      <w:pPr>
        <w:jc w:val="both"/>
        <w:rPr>
          <w:rFonts w:ascii="Arial" w:hAnsi="Arial" w:cs="Arial"/>
        </w:rPr>
      </w:pPr>
      <w:r w:rsidRPr="00FB6ADA">
        <w:rPr>
          <w:rFonts w:ascii="Arial" w:hAnsi="Arial" w:cs="Arial"/>
          <w:noProof/>
        </w:rPr>
        <w:drawing>
          <wp:inline distT="0" distB="0" distL="0" distR="0">
            <wp:extent cx="5935980" cy="8374545"/>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5980" cy="8374545"/>
                    </a:xfrm>
                    <a:prstGeom prst="rect">
                      <a:avLst/>
                    </a:prstGeom>
                    <a:noFill/>
                    <a:ln>
                      <a:noFill/>
                    </a:ln>
                  </pic:spPr>
                </pic:pic>
              </a:graphicData>
            </a:graphic>
          </wp:inline>
        </w:drawing>
      </w:r>
    </w:p>
    <w:p w:rsidR="00162FCF" w:rsidRPr="00FB6ADA" w:rsidRDefault="00162FCF" w:rsidP="00162FCF">
      <w:pPr>
        <w:jc w:val="center"/>
        <w:outlineLvl w:val="1"/>
        <w:rPr>
          <w:rFonts w:ascii="Arial" w:hAnsi="Arial" w:cs="Arial"/>
          <w:b/>
        </w:rPr>
      </w:pPr>
      <w:r w:rsidRPr="00FB6ADA">
        <w:rPr>
          <w:rFonts w:ascii="Arial" w:hAnsi="Arial" w:cs="Arial"/>
          <w:b/>
        </w:rPr>
        <w:lastRenderedPageBreak/>
        <w:t xml:space="preserve">Анализ фактических данных о ценах сделок и (или) предложений рынка жилой, коммерческой недвижимости и земельных участков г. Элиста </w:t>
      </w:r>
    </w:p>
    <w:p w:rsidR="00162FCF" w:rsidRPr="00FB6ADA" w:rsidRDefault="00162FCF" w:rsidP="00162FCF">
      <w:pPr>
        <w:jc w:val="center"/>
        <w:rPr>
          <w:rFonts w:ascii="Arial" w:hAnsi="Arial" w:cs="Arial"/>
          <w:b/>
        </w:rPr>
      </w:pPr>
    </w:p>
    <w:p w:rsidR="00162FCF" w:rsidRPr="00FB6ADA" w:rsidRDefault="00162FCF" w:rsidP="00162FCF">
      <w:pPr>
        <w:ind w:firstLine="709"/>
        <w:jc w:val="both"/>
        <w:rPr>
          <w:rFonts w:ascii="Arial" w:hAnsi="Arial" w:cs="Arial"/>
        </w:rPr>
      </w:pPr>
      <w:r w:rsidRPr="00FB6ADA">
        <w:rPr>
          <w:rFonts w:ascii="Arial" w:hAnsi="Arial" w:cs="Arial"/>
        </w:rPr>
        <w:t>Рынок недвижимости Республики Калмыкия находится в стадии становления, риэлтерскими услугами охвачена фактически только столица Республики – г.Элиста. Наблюдается разрозненность и недостаток информации, затрудняющее инвесторам принять решение об инвестировании в те или иные объекты, что оказывает негативное влияние на динамичное развитие рынка коммерческой недвижимости в республике.</w:t>
      </w:r>
    </w:p>
    <w:p w:rsidR="00162FCF" w:rsidRPr="00FB6ADA" w:rsidRDefault="00162FCF" w:rsidP="00162FCF">
      <w:pPr>
        <w:ind w:firstLine="709"/>
        <w:jc w:val="both"/>
        <w:rPr>
          <w:rFonts w:ascii="Arial" w:hAnsi="Arial" w:cs="Arial"/>
        </w:rPr>
      </w:pPr>
      <w:r w:rsidRPr="00FB6ADA">
        <w:rPr>
          <w:rFonts w:ascii="Arial" w:hAnsi="Arial" w:cs="Arial"/>
        </w:rPr>
        <w:t xml:space="preserve">Рынок жилой недвижимости в рамках настоящего анализа разделен на рынок квартир и рынок домовладений. </w:t>
      </w:r>
    </w:p>
    <w:p w:rsidR="00162FCF" w:rsidRPr="00FB6ADA" w:rsidRDefault="00162FCF" w:rsidP="00162FCF">
      <w:pPr>
        <w:ind w:firstLine="709"/>
        <w:jc w:val="both"/>
        <w:rPr>
          <w:rFonts w:ascii="Arial" w:hAnsi="Arial" w:cs="Arial"/>
        </w:rPr>
      </w:pPr>
      <w:r w:rsidRPr="00FB6ADA">
        <w:rPr>
          <w:rFonts w:ascii="Arial" w:hAnsi="Arial" w:cs="Arial"/>
        </w:rPr>
        <w:t>Земельные участки по функциональному назначению подразделены на участки под индивидуальное жилищное строительство (ИЖС) и под коммерческую застройку.</w:t>
      </w:r>
    </w:p>
    <w:p w:rsidR="00162FCF" w:rsidRPr="00FB6ADA" w:rsidRDefault="00162FCF" w:rsidP="00162FCF">
      <w:pPr>
        <w:ind w:firstLine="709"/>
        <w:jc w:val="both"/>
        <w:rPr>
          <w:rFonts w:ascii="Arial" w:hAnsi="Arial" w:cs="Arial"/>
        </w:rPr>
      </w:pPr>
      <w:r w:rsidRPr="00FB6ADA">
        <w:rPr>
          <w:rFonts w:ascii="Arial" w:hAnsi="Arial" w:cs="Arial"/>
        </w:rPr>
        <w:t>Коммерческая недвижимость представлена торгово-офисной и производственно-складской.</w:t>
      </w:r>
    </w:p>
    <w:p w:rsidR="00162FCF" w:rsidRPr="00FB6ADA" w:rsidRDefault="00162FCF" w:rsidP="00162FCF">
      <w:pPr>
        <w:ind w:firstLine="709"/>
        <w:jc w:val="both"/>
        <w:rPr>
          <w:rFonts w:ascii="Arial" w:hAnsi="Arial" w:cs="Arial"/>
        </w:rPr>
      </w:pPr>
      <w:r w:rsidRPr="00FB6ADA">
        <w:rPr>
          <w:rFonts w:ascii="Arial" w:hAnsi="Arial" w:cs="Arial"/>
        </w:rPr>
        <w:t>В данном исследовании, на территории г. Элиста можно выделить следующие активные (географические) районы: Центр, микрорайоны новой застройки – 9-й, 8-й, 7-й, 6-й, микрорайоны старой застройки – 1-й, 2-й, 3-й, 4-й, 5-й, районы домовладений (частной застройки) – Южный, Северный, Северо-Западный.</w:t>
      </w:r>
    </w:p>
    <w:p w:rsidR="00162FCF" w:rsidRPr="00FB6ADA" w:rsidRDefault="00162FCF" w:rsidP="00162FCF">
      <w:pPr>
        <w:ind w:firstLine="709"/>
        <w:jc w:val="both"/>
        <w:rPr>
          <w:rFonts w:ascii="Arial" w:hAnsi="Arial" w:cs="Arial"/>
        </w:rPr>
      </w:pPr>
      <w:r w:rsidRPr="00FB6ADA">
        <w:rPr>
          <w:rFonts w:ascii="Arial" w:hAnsi="Arial" w:cs="Arial"/>
        </w:rPr>
        <w:t xml:space="preserve">Интервал исследования составляет 2 месяца. Исследуемый интервал – </w:t>
      </w:r>
      <w:r w:rsidR="00B86EA2" w:rsidRPr="00FB6ADA">
        <w:rPr>
          <w:rFonts w:ascii="Arial" w:hAnsi="Arial" w:cs="Arial"/>
          <w:u w:val="single"/>
        </w:rPr>
        <w:t>июль</w:t>
      </w:r>
      <w:r w:rsidRPr="00FB6ADA">
        <w:rPr>
          <w:rFonts w:ascii="Arial" w:hAnsi="Arial" w:cs="Arial"/>
          <w:u w:val="single"/>
        </w:rPr>
        <w:t>-</w:t>
      </w:r>
      <w:r w:rsidR="00B86EA2" w:rsidRPr="00FB6ADA">
        <w:rPr>
          <w:rFonts w:ascii="Arial" w:hAnsi="Arial" w:cs="Arial"/>
          <w:u w:val="single"/>
        </w:rPr>
        <w:t xml:space="preserve">август </w:t>
      </w:r>
      <w:r w:rsidRPr="00FB6ADA">
        <w:rPr>
          <w:rFonts w:ascii="Arial" w:hAnsi="Arial" w:cs="Arial"/>
          <w:u w:val="single"/>
        </w:rPr>
        <w:t>2018 года.</w:t>
      </w:r>
    </w:p>
    <w:p w:rsidR="00162FCF" w:rsidRPr="00FB6ADA" w:rsidRDefault="00162FCF" w:rsidP="00162FCF">
      <w:pPr>
        <w:rPr>
          <w:rFonts w:ascii="Arial" w:hAnsi="Arial" w:cs="Arial"/>
        </w:rPr>
      </w:pPr>
    </w:p>
    <w:p w:rsidR="00162FCF" w:rsidRPr="00FB6ADA" w:rsidRDefault="00162FCF" w:rsidP="00FB6ADA">
      <w:pPr>
        <w:pageBreakBefore/>
        <w:spacing w:before="240"/>
        <w:ind w:firstLine="709"/>
        <w:jc w:val="center"/>
        <w:rPr>
          <w:rFonts w:ascii="Arial" w:hAnsi="Arial" w:cs="Arial"/>
          <w:b/>
        </w:rPr>
      </w:pPr>
      <w:r w:rsidRPr="00FB6ADA">
        <w:rPr>
          <w:rFonts w:ascii="Arial" w:hAnsi="Arial" w:cs="Arial"/>
          <w:b/>
        </w:rPr>
        <w:lastRenderedPageBreak/>
        <w:t>Рынок жилой недвижимост</w:t>
      </w:r>
      <w:r w:rsidR="00B86EA2" w:rsidRPr="00FB6ADA">
        <w:rPr>
          <w:rFonts w:ascii="Arial" w:hAnsi="Arial" w:cs="Arial"/>
          <w:b/>
        </w:rPr>
        <w:t>и</w:t>
      </w:r>
    </w:p>
    <w:p w:rsidR="00162FCF" w:rsidRPr="00FB6ADA" w:rsidRDefault="00B86EA2" w:rsidP="00162FCF">
      <w:pPr>
        <w:ind w:firstLine="540"/>
        <w:jc w:val="center"/>
        <w:rPr>
          <w:rFonts w:ascii="Arial" w:hAnsi="Arial" w:cs="Arial"/>
        </w:rPr>
      </w:pPr>
      <w:r w:rsidRPr="00FB6ADA">
        <w:rPr>
          <w:rFonts w:ascii="Arial" w:hAnsi="Arial" w:cs="Arial"/>
          <w:noProof/>
        </w:rPr>
        <w:drawing>
          <wp:inline distT="0" distB="0" distL="0" distR="0">
            <wp:extent cx="4572000" cy="2743200"/>
            <wp:effectExtent l="1905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FB6ADA">
        <w:rPr>
          <w:rFonts w:ascii="Arial" w:hAnsi="Arial" w:cs="Arial"/>
          <w:noProof/>
        </w:rPr>
        <w:t xml:space="preserve"> </w:t>
      </w:r>
    </w:p>
    <w:p w:rsidR="00162FCF" w:rsidRPr="00FB1246" w:rsidRDefault="00162FCF" w:rsidP="00162FCF">
      <w:pPr>
        <w:keepNext/>
        <w:ind w:firstLine="540"/>
        <w:jc w:val="center"/>
        <w:rPr>
          <w:rFonts w:ascii="Arial" w:hAnsi="Arial" w:cs="Arial"/>
        </w:rPr>
      </w:pPr>
    </w:p>
    <w:p w:rsidR="005577DC" w:rsidRPr="00FB6ADA" w:rsidRDefault="005577DC" w:rsidP="005577DC">
      <w:pPr>
        <w:jc w:val="center"/>
        <w:outlineLvl w:val="1"/>
        <w:rPr>
          <w:rFonts w:ascii="Arial" w:hAnsi="Arial" w:cs="Arial"/>
          <w:b/>
        </w:rPr>
      </w:pPr>
      <w:r w:rsidRPr="00FB6ADA">
        <w:rPr>
          <w:rFonts w:ascii="Arial" w:hAnsi="Arial" w:cs="Arial"/>
          <w:b/>
        </w:rPr>
        <w:t>Анализ фактических данных о ценах</w:t>
      </w:r>
      <w:r w:rsidR="00042542" w:rsidRPr="00FB6ADA">
        <w:rPr>
          <w:rFonts w:ascii="Arial" w:hAnsi="Arial" w:cs="Arial"/>
          <w:b/>
        </w:rPr>
        <w:t xml:space="preserve"> сделок и (или)</w:t>
      </w:r>
      <w:r w:rsidRPr="00FB6ADA">
        <w:rPr>
          <w:rFonts w:ascii="Arial" w:hAnsi="Arial" w:cs="Arial"/>
          <w:b/>
        </w:rPr>
        <w:t xml:space="preserve"> предложений рынка жилой</w:t>
      </w:r>
      <w:r w:rsidR="00553033" w:rsidRPr="00FB6ADA">
        <w:rPr>
          <w:rFonts w:ascii="Arial" w:hAnsi="Arial" w:cs="Arial"/>
          <w:b/>
        </w:rPr>
        <w:t>, коммерческой</w:t>
      </w:r>
      <w:r w:rsidRPr="00FB6ADA">
        <w:rPr>
          <w:rFonts w:ascii="Arial" w:hAnsi="Arial" w:cs="Arial"/>
          <w:b/>
        </w:rPr>
        <w:t xml:space="preserve"> недвижимости</w:t>
      </w:r>
      <w:r w:rsidR="00553033" w:rsidRPr="00FB6ADA">
        <w:rPr>
          <w:rFonts w:ascii="Arial" w:hAnsi="Arial" w:cs="Arial"/>
          <w:b/>
        </w:rPr>
        <w:t xml:space="preserve"> и земельных участков</w:t>
      </w:r>
      <w:r w:rsidRPr="00FB6ADA">
        <w:rPr>
          <w:rFonts w:ascii="Arial" w:hAnsi="Arial" w:cs="Arial"/>
          <w:b/>
        </w:rPr>
        <w:t xml:space="preserve"> г. </w:t>
      </w:r>
      <w:r w:rsidR="00B86EA2" w:rsidRPr="00FB6ADA">
        <w:rPr>
          <w:rFonts w:ascii="Arial" w:hAnsi="Arial" w:cs="Arial"/>
          <w:b/>
        </w:rPr>
        <w:t>Элиста</w:t>
      </w:r>
      <w:r w:rsidRPr="00FB6ADA">
        <w:rPr>
          <w:rFonts w:ascii="Arial" w:hAnsi="Arial" w:cs="Arial"/>
          <w:b/>
        </w:rPr>
        <w:t xml:space="preserve"> </w:t>
      </w:r>
    </w:p>
    <w:p w:rsidR="00D06CB8" w:rsidRPr="00FB6ADA" w:rsidRDefault="00B37E7F" w:rsidP="00042542">
      <w:pPr>
        <w:spacing w:before="240"/>
        <w:ind w:firstLine="709"/>
        <w:jc w:val="center"/>
        <w:rPr>
          <w:rFonts w:ascii="Arial" w:hAnsi="Arial" w:cs="Arial"/>
          <w:b/>
        </w:rPr>
      </w:pPr>
      <w:r w:rsidRPr="00FB6ADA">
        <w:rPr>
          <w:rFonts w:ascii="Arial" w:hAnsi="Arial" w:cs="Arial"/>
          <w:b/>
        </w:rPr>
        <w:t>К</w:t>
      </w:r>
      <w:r w:rsidR="00D06CB8" w:rsidRPr="00FB6ADA">
        <w:rPr>
          <w:rFonts w:ascii="Arial" w:hAnsi="Arial" w:cs="Arial"/>
          <w:b/>
        </w:rPr>
        <w:t>вартир</w:t>
      </w:r>
      <w:r w:rsidRPr="00FB6ADA">
        <w:rPr>
          <w:rFonts w:ascii="Arial" w:hAnsi="Arial" w:cs="Arial"/>
          <w:b/>
        </w:rPr>
        <w:t>ы</w:t>
      </w:r>
    </w:p>
    <w:p w:rsidR="00D06CB8" w:rsidRPr="00FB6ADA" w:rsidRDefault="00F873D9" w:rsidP="000C5AB4">
      <w:pPr>
        <w:jc w:val="both"/>
        <w:rPr>
          <w:rFonts w:ascii="Arial" w:hAnsi="Arial" w:cs="Arial"/>
        </w:rPr>
      </w:pPr>
      <w:r w:rsidRPr="00FB6ADA">
        <w:rPr>
          <w:rFonts w:ascii="Arial" w:hAnsi="Arial" w:cs="Arial"/>
          <w:noProof/>
        </w:rPr>
        <w:drawing>
          <wp:inline distT="0" distB="0" distL="0" distR="0">
            <wp:extent cx="5912934" cy="13716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9727" t="19582" r="14698" b="49239"/>
                    <a:stretch>
                      <a:fillRect/>
                    </a:stretch>
                  </pic:blipFill>
                  <pic:spPr bwMode="auto">
                    <a:xfrm>
                      <a:off x="0" y="0"/>
                      <a:ext cx="5912934" cy="1371600"/>
                    </a:xfrm>
                    <a:prstGeom prst="rect">
                      <a:avLst/>
                    </a:prstGeom>
                    <a:noFill/>
                    <a:ln w="9525">
                      <a:noFill/>
                      <a:miter lim="800000"/>
                      <a:headEnd/>
                      <a:tailEnd/>
                    </a:ln>
                  </pic:spPr>
                </pic:pic>
              </a:graphicData>
            </a:graphic>
          </wp:inline>
        </w:drawing>
      </w:r>
    </w:p>
    <w:tbl>
      <w:tblPr>
        <w:tblStyle w:val="ae"/>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
        <w:gridCol w:w="1024"/>
        <w:gridCol w:w="1024"/>
        <w:gridCol w:w="1024"/>
        <w:gridCol w:w="1023"/>
        <w:gridCol w:w="1024"/>
        <w:gridCol w:w="1024"/>
        <w:gridCol w:w="1024"/>
        <w:gridCol w:w="1024"/>
      </w:tblGrid>
      <w:tr w:rsidR="000C278A" w:rsidRPr="00FB6ADA" w:rsidTr="000C278A">
        <w:trPr>
          <w:cantSplit/>
          <w:trHeight w:val="1134"/>
        </w:trPr>
        <w:tc>
          <w:tcPr>
            <w:tcW w:w="1023" w:type="dxa"/>
            <w:textDirection w:val="btLr"/>
            <w:vAlign w:val="bottom"/>
          </w:tcPr>
          <w:p w:rsidR="000C278A" w:rsidRPr="00FB6ADA" w:rsidRDefault="000C278A" w:rsidP="000C278A">
            <w:pPr>
              <w:ind w:left="113" w:right="113"/>
              <w:jc w:val="right"/>
              <w:rPr>
                <w:rFonts w:ascii="Arial" w:hAnsi="Arial" w:cs="Arial"/>
              </w:rPr>
            </w:pPr>
            <w:r w:rsidRPr="00FB6ADA">
              <w:rPr>
                <w:rFonts w:ascii="Arial" w:hAnsi="Arial" w:cs="Arial"/>
              </w:rPr>
              <w:t>09.03.2015</w:t>
            </w:r>
          </w:p>
          <w:p w:rsidR="000C278A" w:rsidRPr="00FB6ADA" w:rsidRDefault="000C278A" w:rsidP="000C278A">
            <w:pPr>
              <w:ind w:left="113" w:right="113"/>
              <w:jc w:val="right"/>
              <w:rPr>
                <w:rFonts w:ascii="Arial" w:hAnsi="Arial" w:cs="Arial"/>
              </w:rPr>
            </w:pPr>
          </w:p>
        </w:tc>
        <w:tc>
          <w:tcPr>
            <w:tcW w:w="1024" w:type="dxa"/>
            <w:textDirection w:val="btLr"/>
            <w:vAlign w:val="bottom"/>
          </w:tcPr>
          <w:p w:rsidR="000C278A" w:rsidRPr="00FB6ADA" w:rsidRDefault="000C278A" w:rsidP="000C278A">
            <w:pPr>
              <w:ind w:left="113" w:right="113"/>
              <w:jc w:val="right"/>
              <w:rPr>
                <w:rFonts w:ascii="Arial" w:hAnsi="Arial" w:cs="Arial"/>
              </w:rPr>
            </w:pPr>
            <w:r w:rsidRPr="00FB6ADA">
              <w:rPr>
                <w:rFonts w:ascii="Arial" w:hAnsi="Arial" w:cs="Arial"/>
              </w:rPr>
              <w:t>29.09.2015</w:t>
            </w:r>
          </w:p>
        </w:tc>
        <w:tc>
          <w:tcPr>
            <w:tcW w:w="1024" w:type="dxa"/>
            <w:textDirection w:val="btLr"/>
            <w:vAlign w:val="bottom"/>
          </w:tcPr>
          <w:p w:rsidR="000C278A" w:rsidRPr="00FB6ADA" w:rsidRDefault="000C278A" w:rsidP="000C278A">
            <w:pPr>
              <w:ind w:left="113" w:right="113"/>
              <w:jc w:val="right"/>
              <w:rPr>
                <w:rFonts w:ascii="Arial" w:hAnsi="Arial" w:cs="Arial"/>
              </w:rPr>
            </w:pPr>
            <w:r w:rsidRPr="00FB6ADA">
              <w:rPr>
                <w:rFonts w:ascii="Arial" w:hAnsi="Arial" w:cs="Arial"/>
              </w:rPr>
              <w:t>23.04.2015</w:t>
            </w:r>
          </w:p>
        </w:tc>
        <w:tc>
          <w:tcPr>
            <w:tcW w:w="1024" w:type="dxa"/>
            <w:textDirection w:val="btLr"/>
            <w:vAlign w:val="bottom"/>
          </w:tcPr>
          <w:p w:rsidR="000C278A" w:rsidRPr="00FB6ADA" w:rsidRDefault="000C278A" w:rsidP="000C278A">
            <w:pPr>
              <w:ind w:left="113" w:right="113"/>
              <w:jc w:val="right"/>
              <w:rPr>
                <w:rFonts w:ascii="Arial" w:hAnsi="Arial" w:cs="Arial"/>
              </w:rPr>
            </w:pPr>
            <w:r w:rsidRPr="00FB6ADA">
              <w:rPr>
                <w:rFonts w:ascii="Arial" w:hAnsi="Arial" w:cs="Arial"/>
              </w:rPr>
              <w:t>04.10.2015</w:t>
            </w:r>
          </w:p>
        </w:tc>
        <w:tc>
          <w:tcPr>
            <w:tcW w:w="1023" w:type="dxa"/>
            <w:textDirection w:val="btLr"/>
            <w:vAlign w:val="bottom"/>
          </w:tcPr>
          <w:p w:rsidR="000C278A" w:rsidRPr="00FB6ADA" w:rsidRDefault="000C278A" w:rsidP="000C278A">
            <w:pPr>
              <w:ind w:left="113" w:right="113"/>
              <w:jc w:val="right"/>
              <w:rPr>
                <w:rFonts w:ascii="Arial" w:hAnsi="Arial" w:cs="Arial"/>
              </w:rPr>
            </w:pPr>
            <w:r w:rsidRPr="00FB6ADA">
              <w:rPr>
                <w:rFonts w:ascii="Arial" w:hAnsi="Arial" w:cs="Arial"/>
              </w:rPr>
              <w:t>29.02.2016</w:t>
            </w:r>
          </w:p>
        </w:tc>
        <w:tc>
          <w:tcPr>
            <w:tcW w:w="1024" w:type="dxa"/>
            <w:textDirection w:val="btLr"/>
            <w:vAlign w:val="bottom"/>
          </w:tcPr>
          <w:p w:rsidR="000C278A" w:rsidRPr="00FB6ADA" w:rsidRDefault="000C278A" w:rsidP="000C278A">
            <w:pPr>
              <w:ind w:left="113" w:right="113"/>
              <w:jc w:val="right"/>
              <w:rPr>
                <w:rFonts w:ascii="Arial" w:hAnsi="Arial" w:cs="Arial"/>
              </w:rPr>
            </w:pPr>
            <w:r w:rsidRPr="00FB6ADA">
              <w:rPr>
                <w:rFonts w:ascii="Arial" w:hAnsi="Arial" w:cs="Arial"/>
              </w:rPr>
              <w:t>11.09.2016</w:t>
            </w:r>
          </w:p>
        </w:tc>
        <w:tc>
          <w:tcPr>
            <w:tcW w:w="1024" w:type="dxa"/>
            <w:textDirection w:val="btLr"/>
            <w:vAlign w:val="bottom"/>
          </w:tcPr>
          <w:p w:rsidR="000C278A" w:rsidRPr="00FB6ADA" w:rsidRDefault="000C278A" w:rsidP="000C278A">
            <w:pPr>
              <w:ind w:left="113" w:right="113"/>
              <w:jc w:val="right"/>
              <w:rPr>
                <w:rFonts w:ascii="Arial" w:hAnsi="Arial" w:cs="Arial"/>
              </w:rPr>
            </w:pPr>
            <w:r w:rsidRPr="00FB6ADA">
              <w:rPr>
                <w:rFonts w:ascii="Arial" w:hAnsi="Arial" w:cs="Arial"/>
              </w:rPr>
              <w:t>13.05.2017</w:t>
            </w:r>
          </w:p>
        </w:tc>
        <w:tc>
          <w:tcPr>
            <w:tcW w:w="1024" w:type="dxa"/>
            <w:textDirection w:val="btLr"/>
            <w:vAlign w:val="bottom"/>
          </w:tcPr>
          <w:p w:rsidR="000C278A" w:rsidRPr="00FB6ADA" w:rsidRDefault="000C278A" w:rsidP="000C278A">
            <w:pPr>
              <w:ind w:left="113" w:right="113"/>
              <w:jc w:val="right"/>
              <w:rPr>
                <w:rFonts w:ascii="Arial" w:hAnsi="Arial" w:cs="Arial"/>
              </w:rPr>
            </w:pPr>
            <w:r w:rsidRPr="00FB6ADA">
              <w:rPr>
                <w:rFonts w:ascii="Arial" w:hAnsi="Arial" w:cs="Arial"/>
              </w:rPr>
              <w:t>25.11.2017</w:t>
            </w:r>
          </w:p>
        </w:tc>
        <w:tc>
          <w:tcPr>
            <w:tcW w:w="1024" w:type="dxa"/>
            <w:textDirection w:val="btLr"/>
            <w:vAlign w:val="bottom"/>
          </w:tcPr>
          <w:p w:rsidR="000C278A" w:rsidRPr="00FB6ADA" w:rsidRDefault="000C278A" w:rsidP="000C278A">
            <w:pPr>
              <w:ind w:left="113" w:right="113"/>
              <w:jc w:val="right"/>
              <w:rPr>
                <w:rFonts w:ascii="Arial" w:hAnsi="Arial" w:cs="Arial"/>
              </w:rPr>
            </w:pPr>
            <w:r w:rsidRPr="00FB6ADA">
              <w:rPr>
                <w:rFonts w:ascii="Arial" w:hAnsi="Arial" w:cs="Arial"/>
              </w:rPr>
              <w:t>03.07.2018</w:t>
            </w:r>
          </w:p>
        </w:tc>
      </w:tr>
    </w:tbl>
    <w:p w:rsidR="00EE000B" w:rsidRPr="00FB6ADA" w:rsidRDefault="0027421A" w:rsidP="00EE000B">
      <w:pPr>
        <w:keepNext/>
        <w:ind w:firstLine="540"/>
        <w:jc w:val="center"/>
        <w:rPr>
          <w:rFonts w:ascii="Arial" w:hAnsi="Arial" w:cs="Arial"/>
        </w:rPr>
      </w:pPr>
      <w:r w:rsidRPr="00FB6ADA">
        <w:rPr>
          <w:rFonts w:ascii="Arial" w:hAnsi="Arial" w:cs="Arial"/>
          <w:noProof/>
        </w:rPr>
        <w:drawing>
          <wp:inline distT="0" distB="0" distL="0" distR="0">
            <wp:extent cx="4572000" cy="2743200"/>
            <wp:effectExtent l="19050" t="0" r="0"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E000B" w:rsidRPr="00FB6ADA" w:rsidRDefault="00EE000B" w:rsidP="00EE000B">
      <w:pPr>
        <w:pStyle w:val="ac"/>
        <w:jc w:val="center"/>
        <w:rPr>
          <w:rFonts w:ascii="Arial" w:hAnsi="Arial" w:cs="Arial"/>
          <w:sz w:val="24"/>
          <w:szCs w:val="24"/>
        </w:rPr>
      </w:pPr>
      <w:r w:rsidRPr="00FB6ADA">
        <w:rPr>
          <w:rFonts w:ascii="Arial" w:hAnsi="Arial" w:cs="Arial"/>
          <w:sz w:val="24"/>
          <w:szCs w:val="24"/>
        </w:rPr>
        <w:t xml:space="preserve">Рисунок </w:t>
      </w:r>
      <w:r w:rsidR="001614C0" w:rsidRPr="00FB6ADA">
        <w:rPr>
          <w:rFonts w:ascii="Arial" w:hAnsi="Arial" w:cs="Arial"/>
          <w:sz w:val="24"/>
          <w:szCs w:val="24"/>
        </w:rPr>
        <w:fldChar w:fldCharType="begin"/>
      </w:r>
      <w:r w:rsidR="007A6D40" w:rsidRPr="00FB6ADA">
        <w:rPr>
          <w:rFonts w:ascii="Arial" w:hAnsi="Arial" w:cs="Arial"/>
          <w:sz w:val="24"/>
          <w:szCs w:val="24"/>
        </w:rPr>
        <w:instrText xml:space="preserve"> SEQ Рисунок \* ARABIC </w:instrText>
      </w:r>
      <w:r w:rsidR="001614C0" w:rsidRPr="00FB6ADA">
        <w:rPr>
          <w:rFonts w:ascii="Arial" w:hAnsi="Arial" w:cs="Arial"/>
          <w:sz w:val="24"/>
          <w:szCs w:val="24"/>
        </w:rPr>
        <w:fldChar w:fldCharType="separate"/>
      </w:r>
      <w:r w:rsidR="00225215" w:rsidRPr="00FB6ADA">
        <w:rPr>
          <w:rFonts w:ascii="Arial" w:hAnsi="Arial" w:cs="Arial"/>
          <w:noProof/>
          <w:sz w:val="24"/>
          <w:szCs w:val="24"/>
        </w:rPr>
        <w:t>1</w:t>
      </w:r>
      <w:r w:rsidR="001614C0" w:rsidRPr="00FB6ADA">
        <w:rPr>
          <w:rFonts w:ascii="Arial" w:hAnsi="Arial" w:cs="Arial"/>
          <w:sz w:val="24"/>
          <w:szCs w:val="24"/>
        </w:rPr>
        <w:fldChar w:fldCharType="end"/>
      </w:r>
      <w:r w:rsidRPr="00FB6ADA">
        <w:rPr>
          <w:rFonts w:ascii="Arial" w:hAnsi="Arial" w:cs="Arial"/>
          <w:sz w:val="24"/>
          <w:szCs w:val="24"/>
        </w:rPr>
        <w:t xml:space="preserve"> Структура предложения согласно сегментированию по количеству комнат</w:t>
      </w:r>
    </w:p>
    <w:p w:rsidR="00EE000B" w:rsidRPr="00FB6ADA" w:rsidRDefault="00EE000B" w:rsidP="00EE000B">
      <w:pPr>
        <w:rPr>
          <w:rFonts w:ascii="Arial" w:hAnsi="Arial" w:cs="Arial"/>
        </w:rPr>
      </w:pPr>
    </w:p>
    <w:p w:rsidR="004D52AE" w:rsidRPr="00FB6ADA" w:rsidRDefault="00EE000B" w:rsidP="00FB6ADA">
      <w:pPr>
        <w:keepNext/>
        <w:keepLines/>
        <w:spacing w:after="240"/>
        <w:ind w:firstLine="539"/>
        <w:jc w:val="both"/>
        <w:rPr>
          <w:rFonts w:ascii="Arial" w:hAnsi="Arial" w:cs="Arial"/>
        </w:rPr>
      </w:pPr>
      <w:r w:rsidRPr="00FB6ADA">
        <w:rPr>
          <w:rFonts w:ascii="Arial" w:hAnsi="Arial" w:cs="Arial"/>
        </w:rPr>
        <w:t xml:space="preserve">Анализ цен предложений в </w:t>
      </w:r>
      <w:r w:rsidR="00B86EA2" w:rsidRPr="00FB6ADA">
        <w:rPr>
          <w:rFonts w:ascii="Arial" w:hAnsi="Arial" w:cs="Arial"/>
        </w:rPr>
        <w:t>августе</w:t>
      </w:r>
      <w:r w:rsidRPr="00FB6ADA">
        <w:rPr>
          <w:rFonts w:ascii="Arial" w:hAnsi="Arial" w:cs="Arial"/>
        </w:rPr>
        <w:t xml:space="preserve"> 2018 г. на рынке квартир представлен в следующей таблице</w:t>
      </w:r>
      <w:r w:rsidR="00903694" w:rsidRPr="00FB6ADA">
        <w:rPr>
          <w:rFonts w:ascii="Arial" w:hAnsi="Arial" w:cs="Arial"/>
        </w:rPr>
        <w:t xml:space="preserve"> (руб./кв.м.)</w:t>
      </w:r>
      <w:r w:rsidRPr="00FB6ADA">
        <w:rPr>
          <w:rFonts w:ascii="Arial" w:hAnsi="Arial" w:cs="Arial"/>
        </w:rPr>
        <w:t>.</w:t>
      </w:r>
    </w:p>
    <w:tbl>
      <w:tblPr>
        <w:tblStyle w:val="-"/>
        <w:tblW w:w="5000" w:type="pct"/>
        <w:tblBorders>
          <w:insideH w:val="single" w:sz="4" w:space="0" w:color="D9D9D9" w:themeColor="background1" w:themeShade="D9"/>
        </w:tblBorders>
        <w:tblLayout w:type="fixed"/>
        <w:tblLook w:val="04A0" w:firstRow="1" w:lastRow="0" w:firstColumn="1" w:lastColumn="0" w:noHBand="0" w:noVBand="1"/>
      </w:tblPr>
      <w:tblGrid>
        <w:gridCol w:w="2868"/>
        <w:gridCol w:w="1926"/>
        <w:gridCol w:w="2867"/>
        <w:gridCol w:w="1910"/>
      </w:tblGrid>
      <w:tr w:rsidR="00B463E0" w:rsidRPr="00FB6ADA" w:rsidTr="00B463E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04" w:type="pct"/>
            <w:gridSpan w:val="2"/>
            <w:shd w:val="clear" w:color="auto" w:fill="D9D9D9" w:themeFill="background1" w:themeFillShade="D9"/>
            <w:vAlign w:val="center"/>
            <w:hideMark/>
          </w:tcPr>
          <w:p w:rsidR="00B463E0" w:rsidRPr="00FB6ADA" w:rsidRDefault="00B463E0" w:rsidP="00B463E0">
            <w:pPr>
              <w:jc w:val="center"/>
              <w:rPr>
                <w:rFonts w:ascii="Arial" w:hAnsi="Arial" w:cs="Arial"/>
                <w:b w:val="0"/>
                <w:bCs/>
                <w:color w:val="auto"/>
                <w:szCs w:val="24"/>
              </w:rPr>
            </w:pPr>
            <w:r w:rsidRPr="00FB6ADA">
              <w:rPr>
                <w:rFonts w:ascii="Arial" w:hAnsi="Arial" w:cs="Arial"/>
                <w:b w:val="0"/>
                <w:bCs/>
                <w:color w:val="auto"/>
                <w:szCs w:val="24"/>
              </w:rPr>
              <w:t>1-комнатные квартиры</w:t>
            </w:r>
          </w:p>
        </w:tc>
        <w:tc>
          <w:tcPr>
            <w:tcW w:w="2496" w:type="pct"/>
            <w:gridSpan w:val="2"/>
            <w:shd w:val="clear" w:color="auto" w:fill="D9D9D9" w:themeFill="background1" w:themeFillShade="D9"/>
            <w:vAlign w:val="center"/>
            <w:hideMark/>
          </w:tcPr>
          <w:p w:rsidR="00B463E0" w:rsidRPr="00FB6ADA" w:rsidRDefault="00B463E0" w:rsidP="00B463E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color w:val="auto"/>
                <w:szCs w:val="24"/>
              </w:rPr>
            </w:pPr>
            <w:r w:rsidRPr="00FB6ADA">
              <w:rPr>
                <w:rFonts w:ascii="Arial" w:hAnsi="Arial" w:cs="Arial"/>
                <w:b w:val="0"/>
                <w:bCs/>
                <w:color w:val="auto"/>
                <w:szCs w:val="24"/>
              </w:rPr>
              <w:t>2-комнатныеквартиры</w:t>
            </w:r>
          </w:p>
        </w:tc>
      </w:tr>
      <w:tr w:rsidR="00B463E0" w:rsidRPr="00FB6ADA" w:rsidTr="00B463E0">
        <w:trPr>
          <w:trHeight w:val="20"/>
        </w:trPr>
        <w:tc>
          <w:tcPr>
            <w:cnfStyle w:val="001000000000" w:firstRow="0" w:lastRow="0" w:firstColumn="1" w:lastColumn="0" w:oddVBand="0" w:evenVBand="0" w:oddHBand="0" w:evenHBand="0" w:firstRowFirstColumn="0" w:firstRowLastColumn="0" w:lastRowFirstColumn="0" w:lastRowLastColumn="0"/>
            <w:tcW w:w="1498" w:type="pct"/>
            <w:shd w:val="clear" w:color="auto" w:fill="FFFFFF" w:themeFill="background1"/>
            <w:vAlign w:val="center"/>
            <w:hideMark/>
          </w:tcPr>
          <w:p w:rsidR="00B463E0" w:rsidRPr="00FB6ADA" w:rsidRDefault="00B463E0" w:rsidP="00432E11">
            <w:pPr>
              <w:rPr>
                <w:rFonts w:ascii="Arial" w:hAnsi="Arial" w:cs="Arial"/>
                <w:color w:val="auto"/>
                <w:szCs w:val="24"/>
              </w:rPr>
            </w:pPr>
            <w:r w:rsidRPr="00FB6ADA">
              <w:rPr>
                <w:rFonts w:ascii="Arial" w:hAnsi="Arial" w:cs="Arial"/>
                <w:color w:val="auto"/>
                <w:szCs w:val="24"/>
              </w:rPr>
              <w:t>Диапазон цен</w:t>
            </w:r>
          </w:p>
        </w:tc>
        <w:tc>
          <w:tcPr>
            <w:tcW w:w="1006" w:type="pct"/>
            <w:shd w:val="clear" w:color="auto" w:fill="FFFFFF" w:themeFill="background1"/>
            <w:vAlign w:val="center"/>
            <w:hideMark/>
          </w:tcPr>
          <w:p w:rsidR="00B463E0" w:rsidRPr="00FB6ADA" w:rsidRDefault="00B463E0" w:rsidP="00432E11">
            <w:pP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sidRPr="00FB6ADA">
              <w:rPr>
                <w:rFonts w:ascii="Arial" w:hAnsi="Arial" w:cs="Arial"/>
                <w:color w:val="auto"/>
                <w:szCs w:val="24"/>
              </w:rPr>
              <w:t>ср. цена</w:t>
            </w:r>
          </w:p>
        </w:tc>
        <w:tc>
          <w:tcPr>
            <w:tcW w:w="1498" w:type="pct"/>
            <w:shd w:val="clear" w:color="auto" w:fill="FFFFFF" w:themeFill="background1"/>
            <w:vAlign w:val="center"/>
            <w:hideMark/>
          </w:tcPr>
          <w:p w:rsidR="00B463E0" w:rsidRPr="00FB6ADA" w:rsidRDefault="00B463E0" w:rsidP="00432E11">
            <w:pP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sidRPr="00FB6ADA">
              <w:rPr>
                <w:rFonts w:ascii="Arial" w:hAnsi="Arial" w:cs="Arial"/>
                <w:color w:val="auto"/>
                <w:szCs w:val="24"/>
              </w:rPr>
              <w:t>Диапазон цен</w:t>
            </w:r>
          </w:p>
        </w:tc>
        <w:tc>
          <w:tcPr>
            <w:tcW w:w="999" w:type="pct"/>
            <w:shd w:val="clear" w:color="auto" w:fill="FFFFFF" w:themeFill="background1"/>
            <w:vAlign w:val="center"/>
            <w:hideMark/>
          </w:tcPr>
          <w:p w:rsidR="00B463E0" w:rsidRPr="00FB6ADA" w:rsidRDefault="00B463E0" w:rsidP="00432E11">
            <w:pP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sidRPr="00FB6ADA">
              <w:rPr>
                <w:rFonts w:ascii="Arial" w:hAnsi="Arial" w:cs="Arial"/>
                <w:color w:val="auto"/>
                <w:szCs w:val="24"/>
              </w:rPr>
              <w:t>ср. цена</w:t>
            </w:r>
          </w:p>
        </w:tc>
      </w:tr>
      <w:tr w:rsidR="00B463E0" w:rsidRPr="00FB6ADA" w:rsidTr="00B463E0">
        <w:trPr>
          <w:trHeight w:val="20"/>
        </w:trPr>
        <w:tc>
          <w:tcPr>
            <w:cnfStyle w:val="001000000000" w:firstRow="0" w:lastRow="0" w:firstColumn="1" w:lastColumn="0" w:oddVBand="0" w:evenVBand="0" w:oddHBand="0" w:evenHBand="0" w:firstRowFirstColumn="0" w:firstRowLastColumn="0" w:lastRowFirstColumn="0" w:lastRowLastColumn="0"/>
            <w:tcW w:w="1498" w:type="pct"/>
            <w:vAlign w:val="center"/>
          </w:tcPr>
          <w:p w:rsidR="00B463E0" w:rsidRPr="00FB6ADA" w:rsidRDefault="00B463E0" w:rsidP="00432E11">
            <w:pPr>
              <w:rPr>
                <w:rFonts w:ascii="Arial" w:hAnsi="Arial" w:cs="Arial"/>
                <w:b/>
                <w:bCs/>
                <w:color w:val="auto"/>
                <w:szCs w:val="24"/>
              </w:rPr>
            </w:pPr>
            <w:r w:rsidRPr="00FB6ADA">
              <w:rPr>
                <w:rFonts w:ascii="Arial" w:hAnsi="Arial" w:cs="Arial"/>
                <w:b/>
                <w:bCs/>
                <w:color w:val="auto"/>
                <w:szCs w:val="24"/>
              </w:rPr>
              <w:t>19 450 - 55 765</w:t>
            </w:r>
          </w:p>
        </w:tc>
        <w:tc>
          <w:tcPr>
            <w:tcW w:w="1006" w:type="pct"/>
            <w:shd w:val="clear" w:color="auto" w:fill="D9D9D9" w:themeFill="background1" w:themeFillShade="D9"/>
            <w:vAlign w:val="center"/>
          </w:tcPr>
          <w:p w:rsidR="00B463E0" w:rsidRPr="00FB6ADA" w:rsidRDefault="00B463E0" w:rsidP="00432E11">
            <w:pP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Cs w:val="24"/>
              </w:rPr>
            </w:pPr>
            <w:r w:rsidRPr="00FB6ADA">
              <w:rPr>
                <w:rFonts w:ascii="Arial" w:hAnsi="Arial" w:cs="Arial"/>
                <w:b/>
                <w:bCs/>
                <w:color w:val="auto"/>
                <w:szCs w:val="24"/>
              </w:rPr>
              <w:t>34 893</w:t>
            </w:r>
          </w:p>
        </w:tc>
        <w:tc>
          <w:tcPr>
            <w:tcW w:w="1498" w:type="pct"/>
            <w:shd w:val="clear" w:color="auto" w:fill="D9D9D9" w:themeFill="background1" w:themeFillShade="D9"/>
            <w:vAlign w:val="center"/>
          </w:tcPr>
          <w:p w:rsidR="00B463E0" w:rsidRPr="00FB6ADA" w:rsidRDefault="00B463E0" w:rsidP="00432E11">
            <w:pP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Cs w:val="24"/>
              </w:rPr>
            </w:pPr>
            <w:r w:rsidRPr="00FB6ADA">
              <w:rPr>
                <w:rFonts w:ascii="Arial" w:hAnsi="Arial" w:cs="Arial"/>
                <w:b/>
                <w:bCs/>
                <w:color w:val="auto"/>
                <w:szCs w:val="24"/>
              </w:rPr>
              <w:t>17 308 - 54 762</w:t>
            </w:r>
          </w:p>
        </w:tc>
        <w:tc>
          <w:tcPr>
            <w:tcW w:w="999" w:type="pct"/>
            <w:shd w:val="clear" w:color="auto" w:fill="D9D9D9" w:themeFill="background1" w:themeFillShade="D9"/>
            <w:vAlign w:val="center"/>
          </w:tcPr>
          <w:p w:rsidR="00B463E0" w:rsidRPr="00FB6ADA" w:rsidRDefault="00B463E0" w:rsidP="00432E11">
            <w:pP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Cs w:val="24"/>
              </w:rPr>
            </w:pPr>
            <w:r w:rsidRPr="00FB6ADA">
              <w:rPr>
                <w:rFonts w:ascii="Arial" w:hAnsi="Arial" w:cs="Arial"/>
                <w:b/>
                <w:bCs/>
                <w:color w:val="auto"/>
                <w:szCs w:val="24"/>
              </w:rPr>
              <w:t>34 763</w:t>
            </w:r>
          </w:p>
        </w:tc>
      </w:tr>
    </w:tbl>
    <w:p w:rsidR="00B463E0" w:rsidRPr="00FB6ADA" w:rsidRDefault="00B463E0" w:rsidP="00EE000B">
      <w:pPr>
        <w:spacing w:after="240"/>
        <w:ind w:firstLine="540"/>
        <w:jc w:val="both"/>
        <w:rPr>
          <w:rFonts w:ascii="Arial" w:hAnsi="Arial" w:cs="Arial"/>
          <w:b/>
        </w:rPr>
      </w:pPr>
    </w:p>
    <w:tbl>
      <w:tblPr>
        <w:tblStyle w:val="-"/>
        <w:tblW w:w="5000" w:type="pct"/>
        <w:tblBorders>
          <w:insideH w:val="single" w:sz="4" w:space="0" w:color="D9D9D9" w:themeColor="background1" w:themeShade="D9"/>
        </w:tblBorders>
        <w:tblLayout w:type="fixed"/>
        <w:tblLook w:val="04A0" w:firstRow="1" w:lastRow="0" w:firstColumn="1" w:lastColumn="0" w:noHBand="0" w:noVBand="1"/>
      </w:tblPr>
      <w:tblGrid>
        <w:gridCol w:w="2430"/>
        <w:gridCol w:w="1335"/>
        <w:gridCol w:w="2273"/>
        <w:gridCol w:w="1491"/>
        <w:gridCol w:w="2042"/>
      </w:tblGrid>
      <w:tr w:rsidR="00B463E0" w:rsidRPr="00FB6ADA" w:rsidTr="00B463E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0" w:type="pct"/>
            <w:gridSpan w:val="2"/>
            <w:shd w:val="clear" w:color="auto" w:fill="D9D9D9" w:themeFill="background1" w:themeFillShade="D9"/>
            <w:vAlign w:val="center"/>
            <w:hideMark/>
          </w:tcPr>
          <w:p w:rsidR="00B463E0" w:rsidRPr="00FB6ADA" w:rsidRDefault="00B463E0" w:rsidP="00B463E0">
            <w:pPr>
              <w:jc w:val="center"/>
              <w:rPr>
                <w:rFonts w:ascii="Arial" w:hAnsi="Arial" w:cs="Arial"/>
                <w:b w:val="0"/>
                <w:bCs/>
                <w:color w:val="auto"/>
                <w:szCs w:val="24"/>
              </w:rPr>
            </w:pPr>
            <w:r w:rsidRPr="00FB6ADA">
              <w:rPr>
                <w:rFonts w:ascii="Arial" w:hAnsi="Arial" w:cs="Arial"/>
                <w:b w:val="0"/>
                <w:bCs/>
                <w:color w:val="auto"/>
                <w:szCs w:val="24"/>
              </w:rPr>
              <w:t>3-комнатные квартиры</w:t>
            </w:r>
          </w:p>
        </w:tc>
        <w:tc>
          <w:tcPr>
            <w:tcW w:w="1100" w:type="pct"/>
            <w:gridSpan w:val="2"/>
            <w:shd w:val="clear" w:color="auto" w:fill="D9D9D9" w:themeFill="background1" w:themeFillShade="D9"/>
            <w:vAlign w:val="center"/>
            <w:hideMark/>
          </w:tcPr>
          <w:p w:rsidR="00B463E0" w:rsidRPr="00FB6ADA" w:rsidRDefault="00B463E0" w:rsidP="00B463E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color w:val="auto"/>
                <w:szCs w:val="24"/>
              </w:rPr>
            </w:pPr>
            <w:r w:rsidRPr="00FB6ADA">
              <w:rPr>
                <w:rFonts w:ascii="Arial" w:hAnsi="Arial" w:cs="Arial"/>
                <w:b w:val="0"/>
                <w:bCs/>
                <w:color w:val="auto"/>
                <w:szCs w:val="24"/>
              </w:rPr>
              <w:t>многокомнатные квартиры</w:t>
            </w:r>
          </w:p>
        </w:tc>
        <w:tc>
          <w:tcPr>
            <w:tcW w:w="597" w:type="pct"/>
            <w:shd w:val="clear" w:color="auto" w:fill="D9D9D9" w:themeFill="background1" w:themeFillShade="D9"/>
            <w:vAlign w:val="center"/>
            <w:hideMark/>
          </w:tcPr>
          <w:p w:rsidR="00B463E0" w:rsidRPr="00FB6ADA" w:rsidRDefault="00B463E0" w:rsidP="00B463E0">
            <w:pPr>
              <w:cnfStyle w:val="100000000000" w:firstRow="1" w:lastRow="0" w:firstColumn="0" w:lastColumn="0" w:oddVBand="0" w:evenVBand="0" w:oddHBand="0" w:evenHBand="0" w:firstRowFirstColumn="0" w:firstRowLastColumn="0" w:lastRowFirstColumn="0" w:lastRowLastColumn="0"/>
              <w:rPr>
                <w:rFonts w:ascii="Arial" w:hAnsi="Arial" w:cs="Arial"/>
                <w:b w:val="0"/>
                <w:bCs/>
                <w:color w:val="auto"/>
                <w:szCs w:val="24"/>
              </w:rPr>
            </w:pPr>
            <w:r w:rsidRPr="00FB6ADA">
              <w:rPr>
                <w:rFonts w:ascii="Arial" w:hAnsi="Arial" w:cs="Arial"/>
                <w:b w:val="0"/>
                <w:bCs/>
                <w:color w:val="auto"/>
                <w:szCs w:val="24"/>
              </w:rPr>
              <w:t>Общая ср. цена</w:t>
            </w:r>
          </w:p>
        </w:tc>
      </w:tr>
      <w:tr w:rsidR="00B463E0" w:rsidRPr="00FB6ADA" w:rsidTr="00B463E0">
        <w:trPr>
          <w:trHeight w:val="20"/>
        </w:trPr>
        <w:tc>
          <w:tcPr>
            <w:cnfStyle w:val="001000000000" w:firstRow="0" w:lastRow="0" w:firstColumn="1" w:lastColumn="0" w:oddVBand="0" w:evenVBand="0" w:oddHBand="0" w:evenHBand="0" w:firstRowFirstColumn="0" w:firstRowLastColumn="0" w:lastRowFirstColumn="0" w:lastRowLastColumn="0"/>
            <w:tcW w:w="710" w:type="pct"/>
            <w:shd w:val="clear" w:color="auto" w:fill="FFFFFF" w:themeFill="background1"/>
            <w:vAlign w:val="center"/>
            <w:hideMark/>
          </w:tcPr>
          <w:p w:rsidR="00B463E0" w:rsidRPr="00FB6ADA" w:rsidRDefault="00B463E0" w:rsidP="00B463E0">
            <w:pPr>
              <w:rPr>
                <w:rFonts w:ascii="Arial" w:hAnsi="Arial" w:cs="Arial"/>
                <w:color w:val="auto"/>
                <w:szCs w:val="24"/>
              </w:rPr>
            </w:pPr>
            <w:r w:rsidRPr="00FB6ADA">
              <w:rPr>
                <w:rFonts w:ascii="Arial" w:hAnsi="Arial" w:cs="Arial"/>
                <w:color w:val="auto"/>
                <w:szCs w:val="24"/>
              </w:rPr>
              <w:t>Диапазон цен</w:t>
            </w:r>
          </w:p>
        </w:tc>
        <w:tc>
          <w:tcPr>
            <w:tcW w:w="390" w:type="pct"/>
            <w:shd w:val="clear" w:color="auto" w:fill="FFFFFF" w:themeFill="background1"/>
            <w:vAlign w:val="center"/>
            <w:hideMark/>
          </w:tcPr>
          <w:p w:rsidR="00B463E0" w:rsidRPr="00FB6ADA" w:rsidRDefault="00B463E0" w:rsidP="00B463E0">
            <w:pP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sidRPr="00FB6ADA">
              <w:rPr>
                <w:rFonts w:ascii="Arial" w:hAnsi="Arial" w:cs="Arial"/>
                <w:color w:val="auto"/>
                <w:szCs w:val="24"/>
              </w:rPr>
              <w:t>ср. цена</w:t>
            </w:r>
          </w:p>
        </w:tc>
        <w:tc>
          <w:tcPr>
            <w:tcW w:w="664" w:type="pct"/>
            <w:shd w:val="clear" w:color="auto" w:fill="FFFFFF" w:themeFill="background1"/>
            <w:vAlign w:val="center"/>
            <w:hideMark/>
          </w:tcPr>
          <w:p w:rsidR="00B463E0" w:rsidRPr="00FB6ADA" w:rsidRDefault="00B463E0" w:rsidP="00B463E0">
            <w:pP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sidRPr="00FB6ADA">
              <w:rPr>
                <w:rFonts w:ascii="Arial" w:hAnsi="Arial" w:cs="Arial"/>
                <w:color w:val="auto"/>
                <w:szCs w:val="24"/>
              </w:rPr>
              <w:t>Диапазон цен</w:t>
            </w:r>
          </w:p>
        </w:tc>
        <w:tc>
          <w:tcPr>
            <w:tcW w:w="436" w:type="pct"/>
            <w:shd w:val="clear" w:color="auto" w:fill="FFFFFF" w:themeFill="background1"/>
            <w:vAlign w:val="center"/>
            <w:hideMark/>
          </w:tcPr>
          <w:p w:rsidR="00B463E0" w:rsidRPr="00FB6ADA" w:rsidRDefault="00B463E0" w:rsidP="00B463E0">
            <w:pPr>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sidRPr="00FB6ADA">
              <w:rPr>
                <w:rFonts w:ascii="Arial" w:hAnsi="Arial" w:cs="Arial"/>
                <w:color w:val="auto"/>
                <w:szCs w:val="24"/>
              </w:rPr>
              <w:t>ср. цена</w:t>
            </w:r>
          </w:p>
        </w:tc>
        <w:tc>
          <w:tcPr>
            <w:tcW w:w="597" w:type="pct"/>
            <w:shd w:val="clear" w:color="auto" w:fill="FFFFFF" w:themeFill="background1"/>
            <w:hideMark/>
          </w:tcPr>
          <w:p w:rsidR="00B463E0" w:rsidRPr="00FB6ADA" w:rsidRDefault="00B463E0" w:rsidP="00B463E0">
            <w:pP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Cs w:val="24"/>
              </w:rPr>
            </w:pPr>
          </w:p>
        </w:tc>
      </w:tr>
      <w:tr w:rsidR="00B463E0" w:rsidRPr="00FB6ADA" w:rsidTr="00B463E0">
        <w:trPr>
          <w:trHeight w:val="20"/>
        </w:trPr>
        <w:tc>
          <w:tcPr>
            <w:cnfStyle w:val="001000000000" w:firstRow="0" w:lastRow="0" w:firstColumn="1" w:lastColumn="0" w:oddVBand="0" w:evenVBand="0" w:oddHBand="0" w:evenHBand="0" w:firstRowFirstColumn="0" w:firstRowLastColumn="0" w:lastRowFirstColumn="0" w:lastRowLastColumn="0"/>
            <w:tcW w:w="710" w:type="pct"/>
            <w:vAlign w:val="center"/>
          </w:tcPr>
          <w:p w:rsidR="00B463E0" w:rsidRPr="00FB6ADA" w:rsidRDefault="00B463E0" w:rsidP="00B463E0">
            <w:pPr>
              <w:rPr>
                <w:rFonts w:ascii="Arial" w:hAnsi="Arial" w:cs="Arial"/>
                <w:b/>
                <w:bCs/>
                <w:color w:val="auto"/>
                <w:szCs w:val="24"/>
              </w:rPr>
            </w:pPr>
            <w:r w:rsidRPr="00FB6ADA">
              <w:rPr>
                <w:rFonts w:ascii="Arial" w:hAnsi="Arial" w:cs="Arial"/>
                <w:b/>
                <w:bCs/>
                <w:color w:val="auto"/>
                <w:szCs w:val="24"/>
              </w:rPr>
              <w:t>17 857 - 54 688</w:t>
            </w:r>
          </w:p>
        </w:tc>
        <w:tc>
          <w:tcPr>
            <w:tcW w:w="390" w:type="pct"/>
            <w:shd w:val="clear" w:color="auto" w:fill="D9D9D9" w:themeFill="background1" w:themeFillShade="D9"/>
            <w:vAlign w:val="center"/>
          </w:tcPr>
          <w:p w:rsidR="00B463E0" w:rsidRPr="00FB6ADA" w:rsidRDefault="00B463E0" w:rsidP="00B463E0">
            <w:pP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Cs w:val="24"/>
              </w:rPr>
            </w:pPr>
            <w:r w:rsidRPr="00FB6ADA">
              <w:rPr>
                <w:rFonts w:ascii="Arial" w:hAnsi="Arial" w:cs="Arial"/>
                <w:b/>
                <w:bCs/>
                <w:color w:val="auto"/>
                <w:szCs w:val="24"/>
              </w:rPr>
              <w:t>31 476</w:t>
            </w:r>
          </w:p>
        </w:tc>
        <w:tc>
          <w:tcPr>
            <w:tcW w:w="664" w:type="pct"/>
            <w:shd w:val="clear" w:color="auto" w:fill="D9D9D9" w:themeFill="background1" w:themeFillShade="D9"/>
            <w:vAlign w:val="center"/>
          </w:tcPr>
          <w:p w:rsidR="00B463E0" w:rsidRPr="00FB6ADA" w:rsidRDefault="00B463E0" w:rsidP="00B463E0">
            <w:pP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Cs w:val="24"/>
              </w:rPr>
            </w:pPr>
            <w:r w:rsidRPr="00FB6ADA">
              <w:rPr>
                <w:rFonts w:ascii="Arial" w:hAnsi="Arial" w:cs="Arial"/>
                <w:b/>
                <w:bCs/>
                <w:color w:val="auto"/>
                <w:szCs w:val="24"/>
              </w:rPr>
              <w:t>21 429 - 46 875</w:t>
            </w:r>
          </w:p>
        </w:tc>
        <w:tc>
          <w:tcPr>
            <w:tcW w:w="436" w:type="pct"/>
            <w:shd w:val="clear" w:color="auto" w:fill="D9D9D9" w:themeFill="background1" w:themeFillShade="D9"/>
            <w:vAlign w:val="center"/>
          </w:tcPr>
          <w:p w:rsidR="00B463E0" w:rsidRPr="00FB6ADA" w:rsidRDefault="00B463E0" w:rsidP="00B463E0">
            <w:pP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Cs w:val="24"/>
              </w:rPr>
            </w:pPr>
            <w:r w:rsidRPr="00FB6ADA">
              <w:rPr>
                <w:rFonts w:ascii="Arial" w:hAnsi="Arial" w:cs="Arial"/>
                <w:b/>
                <w:bCs/>
                <w:color w:val="auto"/>
                <w:szCs w:val="24"/>
              </w:rPr>
              <w:t>29 271</w:t>
            </w:r>
          </w:p>
        </w:tc>
        <w:tc>
          <w:tcPr>
            <w:tcW w:w="597" w:type="pct"/>
            <w:shd w:val="clear" w:color="auto" w:fill="D9D9D9" w:themeFill="background1" w:themeFillShade="D9"/>
            <w:vAlign w:val="center"/>
          </w:tcPr>
          <w:p w:rsidR="00B463E0" w:rsidRPr="00FB6ADA" w:rsidRDefault="00B463E0" w:rsidP="00B463E0">
            <w:pP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Cs w:val="24"/>
              </w:rPr>
            </w:pPr>
            <w:r w:rsidRPr="00FB6ADA">
              <w:rPr>
                <w:rFonts w:ascii="Arial" w:hAnsi="Arial" w:cs="Arial"/>
                <w:b/>
                <w:bCs/>
                <w:color w:val="auto"/>
                <w:szCs w:val="24"/>
              </w:rPr>
              <w:t>31 850</w:t>
            </w:r>
          </w:p>
        </w:tc>
      </w:tr>
    </w:tbl>
    <w:p w:rsidR="00B463E0" w:rsidRPr="00FB6ADA" w:rsidRDefault="00B463E0" w:rsidP="004D52AE">
      <w:pPr>
        <w:ind w:firstLine="709"/>
        <w:jc w:val="center"/>
        <w:rPr>
          <w:rFonts w:ascii="Arial" w:hAnsi="Arial" w:cs="Arial"/>
          <w:b/>
        </w:rPr>
      </w:pPr>
    </w:p>
    <w:p w:rsidR="00B463E0" w:rsidRPr="00FB6ADA" w:rsidRDefault="00B463E0" w:rsidP="004D52AE">
      <w:pPr>
        <w:ind w:firstLine="709"/>
        <w:jc w:val="center"/>
        <w:rPr>
          <w:rFonts w:ascii="Arial" w:hAnsi="Arial" w:cs="Arial"/>
          <w:b/>
        </w:rPr>
      </w:pPr>
    </w:p>
    <w:p w:rsidR="00D06CB8" w:rsidRPr="00FB6ADA" w:rsidRDefault="00B37E7F" w:rsidP="004D52AE">
      <w:pPr>
        <w:ind w:firstLine="709"/>
        <w:jc w:val="center"/>
        <w:rPr>
          <w:rFonts w:ascii="Arial" w:hAnsi="Arial" w:cs="Arial"/>
          <w:b/>
        </w:rPr>
      </w:pPr>
      <w:r w:rsidRPr="00FB6ADA">
        <w:rPr>
          <w:rFonts w:ascii="Arial" w:hAnsi="Arial" w:cs="Arial"/>
          <w:b/>
        </w:rPr>
        <w:t>Домовладения</w:t>
      </w:r>
    </w:p>
    <w:tbl>
      <w:tblPr>
        <w:tblStyle w:val="-"/>
        <w:tblW w:w="5000" w:type="pct"/>
        <w:tblBorders>
          <w:insideH w:val="single" w:sz="4" w:space="0" w:color="D9D9D9" w:themeColor="background1" w:themeShade="D9"/>
        </w:tblBorders>
        <w:tblLook w:val="04A0" w:firstRow="1" w:lastRow="0" w:firstColumn="1" w:lastColumn="0" w:noHBand="0" w:noVBand="1"/>
      </w:tblPr>
      <w:tblGrid>
        <w:gridCol w:w="3652"/>
        <w:gridCol w:w="3402"/>
        <w:gridCol w:w="2517"/>
      </w:tblGrid>
      <w:tr w:rsidR="00FD44FA" w:rsidRPr="00FB6ADA" w:rsidTr="00FD44FA">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908" w:type="pct"/>
            <w:shd w:val="clear" w:color="auto" w:fill="D9D9D9" w:themeFill="background1" w:themeFillShade="D9"/>
            <w:hideMark/>
          </w:tcPr>
          <w:p w:rsidR="00FD44FA" w:rsidRPr="00FB6ADA" w:rsidRDefault="00FD44FA" w:rsidP="00F873D9">
            <w:pPr>
              <w:rPr>
                <w:rFonts w:ascii="Arial" w:hAnsi="Arial" w:cs="Arial"/>
                <w:b w:val="0"/>
                <w:color w:val="auto"/>
                <w:szCs w:val="24"/>
              </w:rPr>
            </w:pPr>
            <w:r w:rsidRPr="00FB6ADA">
              <w:rPr>
                <w:rFonts w:ascii="Arial" w:hAnsi="Arial" w:cs="Arial"/>
                <w:b w:val="0"/>
                <w:color w:val="auto"/>
                <w:szCs w:val="24"/>
              </w:rPr>
              <w:t>Диапазон цен единого объекта, руб.</w:t>
            </w:r>
          </w:p>
        </w:tc>
        <w:tc>
          <w:tcPr>
            <w:tcW w:w="1777" w:type="pct"/>
            <w:shd w:val="clear" w:color="auto" w:fill="D9D9D9" w:themeFill="background1" w:themeFillShade="D9"/>
          </w:tcPr>
          <w:p w:rsidR="00FD44FA" w:rsidRPr="00FB6ADA" w:rsidRDefault="00FD44FA" w:rsidP="00F873D9">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4"/>
              </w:rPr>
            </w:pPr>
            <w:r w:rsidRPr="00FB6ADA">
              <w:rPr>
                <w:rFonts w:ascii="Arial" w:hAnsi="Arial" w:cs="Arial"/>
                <w:b w:val="0"/>
                <w:color w:val="auto"/>
                <w:szCs w:val="24"/>
              </w:rPr>
              <w:t>Диапазон цен, руб. за 1 кв.м</w:t>
            </w:r>
          </w:p>
        </w:tc>
        <w:tc>
          <w:tcPr>
            <w:tcW w:w="1315" w:type="pct"/>
            <w:shd w:val="clear" w:color="auto" w:fill="D9D9D9" w:themeFill="background1" w:themeFillShade="D9"/>
            <w:hideMark/>
          </w:tcPr>
          <w:p w:rsidR="00FD44FA" w:rsidRPr="00FB6ADA" w:rsidRDefault="00FD44FA" w:rsidP="00F873D9">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4"/>
              </w:rPr>
            </w:pPr>
            <w:r w:rsidRPr="00FB6ADA">
              <w:rPr>
                <w:rFonts w:ascii="Arial" w:hAnsi="Arial" w:cs="Arial"/>
                <w:b w:val="0"/>
                <w:color w:val="auto"/>
                <w:szCs w:val="24"/>
              </w:rPr>
              <w:t>Ср. цена руб. за 1 кв. м.</w:t>
            </w:r>
          </w:p>
        </w:tc>
      </w:tr>
      <w:tr w:rsidR="00FD44FA" w:rsidRPr="00FB6ADA" w:rsidTr="00FD44FA">
        <w:trPr>
          <w:trHeight w:val="20"/>
        </w:trPr>
        <w:tc>
          <w:tcPr>
            <w:cnfStyle w:val="001000000000" w:firstRow="0" w:lastRow="0" w:firstColumn="1" w:lastColumn="0" w:oddVBand="0" w:evenVBand="0" w:oddHBand="0" w:evenHBand="0" w:firstRowFirstColumn="0" w:firstRowLastColumn="0" w:lastRowFirstColumn="0" w:lastRowLastColumn="0"/>
            <w:tcW w:w="1908" w:type="pct"/>
            <w:hideMark/>
          </w:tcPr>
          <w:p w:rsidR="00FD44FA" w:rsidRPr="00FB6ADA" w:rsidRDefault="00ED3532" w:rsidP="00ED3532">
            <w:pPr>
              <w:rPr>
                <w:rFonts w:ascii="Arial" w:hAnsi="Arial" w:cs="Arial"/>
                <w:b/>
                <w:bCs/>
                <w:color w:val="auto"/>
                <w:szCs w:val="24"/>
              </w:rPr>
            </w:pPr>
            <w:r w:rsidRPr="00FB6ADA">
              <w:rPr>
                <w:rFonts w:ascii="Arial" w:hAnsi="Arial" w:cs="Arial"/>
                <w:b/>
                <w:bCs/>
                <w:color w:val="auto"/>
                <w:szCs w:val="24"/>
              </w:rPr>
              <w:t>950</w:t>
            </w:r>
            <w:r w:rsidR="00FD44FA" w:rsidRPr="00FB6ADA">
              <w:rPr>
                <w:rFonts w:ascii="Arial" w:hAnsi="Arial" w:cs="Arial"/>
                <w:b/>
                <w:bCs/>
                <w:color w:val="auto"/>
                <w:szCs w:val="24"/>
              </w:rPr>
              <w:t xml:space="preserve"> 000 - 1</w:t>
            </w:r>
            <w:r w:rsidRPr="00FB6ADA">
              <w:rPr>
                <w:rFonts w:ascii="Arial" w:hAnsi="Arial" w:cs="Arial"/>
                <w:b/>
                <w:bCs/>
                <w:color w:val="auto"/>
                <w:szCs w:val="24"/>
              </w:rPr>
              <w:t>4</w:t>
            </w:r>
            <w:r w:rsidR="00FD44FA" w:rsidRPr="00FB6ADA">
              <w:rPr>
                <w:rFonts w:ascii="Arial" w:hAnsi="Arial" w:cs="Arial"/>
                <w:b/>
                <w:bCs/>
                <w:color w:val="auto"/>
                <w:szCs w:val="24"/>
              </w:rPr>
              <w:t xml:space="preserve"> </w:t>
            </w:r>
            <w:r w:rsidRPr="00FB6ADA">
              <w:rPr>
                <w:rFonts w:ascii="Arial" w:hAnsi="Arial" w:cs="Arial"/>
                <w:b/>
                <w:bCs/>
                <w:color w:val="auto"/>
                <w:szCs w:val="24"/>
              </w:rPr>
              <w:t>900</w:t>
            </w:r>
            <w:r w:rsidR="00FD44FA" w:rsidRPr="00FB6ADA">
              <w:rPr>
                <w:rFonts w:ascii="Arial" w:hAnsi="Arial" w:cs="Arial"/>
                <w:b/>
                <w:bCs/>
                <w:color w:val="auto"/>
                <w:szCs w:val="24"/>
              </w:rPr>
              <w:t xml:space="preserve"> </w:t>
            </w:r>
            <w:r w:rsidRPr="00FB6ADA">
              <w:rPr>
                <w:rFonts w:ascii="Arial" w:hAnsi="Arial" w:cs="Arial"/>
                <w:b/>
                <w:bCs/>
                <w:color w:val="auto"/>
                <w:szCs w:val="24"/>
              </w:rPr>
              <w:t>000</w:t>
            </w:r>
          </w:p>
        </w:tc>
        <w:tc>
          <w:tcPr>
            <w:tcW w:w="1777" w:type="pct"/>
            <w:shd w:val="clear" w:color="auto" w:fill="D9D9D9" w:themeFill="background1" w:themeFillShade="D9"/>
          </w:tcPr>
          <w:p w:rsidR="00FD44FA" w:rsidRPr="00FB6ADA" w:rsidRDefault="00ED3532" w:rsidP="00ED3532">
            <w:pP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Cs w:val="24"/>
              </w:rPr>
            </w:pPr>
            <w:r w:rsidRPr="00FB6ADA">
              <w:rPr>
                <w:rFonts w:ascii="Arial" w:hAnsi="Arial" w:cs="Arial"/>
                <w:b/>
                <w:bCs/>
                <w:color w:val="auto"/>
                <w:szCs w:val="24"/>
              </w:rPr>
              <w:t>7</w:t>
            </w:r>
            <w:r w:rsidR="00FD44FA" w:rsidRPr="00FB6ADA">
              <w:rPr>
                <w:rFonts w:ascii="Arial" w:hAnsi="Arial" w:cs="Arial"/>
                <w:b/>
                <w:bCs/>
                <w:color w:val="auto"/>
                <w:szCs w:val="24"/>
              </w:rPr>
              <w:t xml:space="preserve"> 3</w:t>
            </w:r>
            <w:r w:rsidRPr="00FB6ADA">
              <w:rPr>
                <w:rFonts w:ascii="Arial" w:hAnsi="Arial" w:cs="Arial"/>
                <w:b/>
                <w:bCs/>
                <w:color w:val="auto"/>
                <w:szCs w:val="24"/>
              </w:rPr>
              <w:t>02</w:t>
            </w:r>
            <w:r w:rsidR="00FD44FA" w:rsidRPr="00FB6ADA">
              <w:rPr>
                <w:rFonts w:ascii="Arial" w:hAnsi="Arial" w:cs="Arial"/>
                <w:b/>
                <w:bCs/>
                <w:color w:val="auto"/>
                <w:szCs w:val="24"/>
              </w:rPr>
              <w:t xml:space="preserve"> - </w:t>
            </w:r>
            <w:r w:rsidRPr="00FB6ADA">
              <w:rPr>
                <w:rFonts w:ascii="Arial" w:hAnsi="Arial" w:cs="Arial"/>
                <w:b/>
                <w:bCs/>
                <w:color w:val="auto"/>
                <w:szCs w:val="24"/>
              </w:rPr>
              <w:t>75</w:t>
            </w:r>
            <w:r w:rsidR="00FD44FA" w:rsidRPr="00FB6ADA">
              <w:rPr>
                <w:rFonts w:ascii="Arial" w:hAnsi="Arial" w:cs="Arial"/>
                <w:b/>
                <w:bCs/>
                <w:color w:val="auto"/>
                <w:szCs w:val="24"/>
              </w:rPr>
              <w:t xml:space="preserve"> </w:t>
            </w:r>
            <w:r w:rsidRPr="00FB6ADA">
              <w:rPr>
                <w:rFonts w:ascii="Arial" w:hAnsi="Arial" w:cs="Arial"/>
                <w:b/>
                <w:bCs/>
                <w:color w:val="auto"/>
                <w:szCs w:val="24"/>
              </w:rPr>
              <w:t>714</w:t>
            </w:r>
          </w:p>
        </w:tc>
        <w:tc>
          <w:tcPr>
            <w:tcW w:w="1315" w:type="pct"/>
            <w:shd w:val="clear" w:color="auto" w:fill="D9D9D9" w:themeFill="background1" w:themeFillShade="D9"/>
            <w:hideMark/>
          </w:tcPr>
          <w:p w:rsidR="00FD44FA" w:rsidRPr="00FB6ADA" w:rsidRDefault="00ED3532" w:rsidP="00ED3532">
            <w:pP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Cs w:val="24"/>
              </w:rPr>
            </w:pPr>
            <w:r w:rsidRPr="00FB6ADA">
              <w:rPr>
                <w:rFonts w:ascii="Arial" w:hAnsi="Arial" w:cs="Arial"/>
                <w:b/>
                <w:bCs/>
                <w:color w:val="auto"/>
                <w:szCs w:val="24"/>
              </w:rPr>
              <w:t>29</w:t>
            </w:r>
            <w:r w:rsidR="00FD44FA" w:rsidRPr="00FB6ADA">
              <w:rPr>
                <w:rFonts w:ascii="Arial" w:hAnsi="Arial" w:cs="Arial"/>
                <w:b/>
                <w:bCs/>
                <w:color w:val="auto"/>
                <w:szCs w:val="24"/>
              </w:rPr>
              <w:t xml:space="preserve"> </w:t>
            </w:r>
            <w:r w:rsidRPr="00FB6ADA">
              <w:rPr>
                <w:rFonts w:ascii="Arial" w:hAnsi="Arial" w:cs="Arial"/>
                <w:b/>
                <w:bCs/>
                <w:color w:val="auto"/>
                <w:szCs w:val="24"/>
              </w:rPr>
              <w:t>167</w:t>
            </w:r>
          </w:p>
        </w:tc>
      </w:tr>
    </w:tbl>
    <w:p w:rsidR="00036C63" w:rsidRPr="00FB6ADA" w:rsidRDefault="00036C63" w:rsidP="009840AF">
      <w:pPr>
        <w:jc w:val="both"/>
        <w:rPr>
          <w:rFonts w:ascii="Arial" w:hAnsi="Arial" w:cs="Arial"/>
          <w:b/>
          <w:u w:val="single"/>
        </w:rPr>
      </w:pPr>
    </w:p>
    <w:p w:rsidR="002D1E4F" w:rsidRPr="00FB6ADA" w:rsidRDefault="002D1E4F" w:rsidP="002D1E4F">
      <w:pPr>
        <w:jc w:val="center"/>
        <w:outlineLvl w:val="1"/>
        <w:rPr>
          <w:rFonts w:ascii="Arial" w:hAnsi="Arial" w:cs="Arial"/>
          <w:b/>
        </w:rPr>
      </w:pPr>
      <w:r w:rsidRPr="00FB6ADA">
        <w:rPr>
          <w:rFonts w:ascii="Arial" w:hAnsi="Arial" w:cs="Arial"/>
          <w:b/>
        </w:rPr>
        <w:t xml:space="preserve">Основные выводы относительно рынка жилой недвижимости </w:t>
      </w:r>
    </w:p>
    <w:p w:rsidR="00731500" w:rsidRPr="00FB6ADA" w:rsidRDefault="00731500" w:rsidP="00731500">
      <w:pPr>
        <w:ind w:firstLine="709"/>
        <w:jc w:val="both"/>
        <w:rPr>
          <w:rFonts w:ascii="Arial" w:hAnsi="Arial" w:cs="Arial"/>
        </w:rPr>
      </w:pPr>
      <w:r w:rsidRPr="00FB6ADA">
        <w:rPr>
          <w:rFonts w:ascii="Arial" w:hAnsi="Arial" w:cs="Arial"/>
        </w:rPr>
        <w:t>Проведенный анализ рынка показал следующее:</w:t>
      </w:r>
    </w:p>
    <w:p w:rsidR="00731500" w:rsidRPr="00FB6ADA" w:rsidRDefault="00731500" w:rsidP="00731500">
      <w:pPr>
        <w:ind w:firstLine="709"/>
        <w:jc w:val="both"/>
        <w:rPr>
          <w:rFonts w:ascii="Arial" w:hAnsi="Arial" w:cs="Arial"/>
        </w:rPr>
      </w:pPr>
      <w:r w:rsidRPr="00FB6ADA">
        <w:rPr>
          <w:rFonts w:ascii="Arial" w:hAnsi="Arial" w:cs="Arial"/>
        </w:rPr>
        <w:t xml:space="preserve">Квартиры выставляются на рынок (без учета скидки на торг) в диапазоне от </w:t>
      </w:r>
      <w:r w:rsidR="00903694" w:rsidRPr="00FB6ADA">
        <w:rPr>
          <w:rFonts w:ascii="Arial" w:hAnsi="Arial" w:cs="Arial"/>
        </w:rPr>
        <w:t>17</w:t>
      </w:r>
      <w:r w:rsidRPr="00FB6ADA">
        <w:rPr>
          <w:rFonts w:ascii="Arial" w:hAnsi="Arial" w:cs="Arial"/>
        </w:rPr>
        <w:t xml:space="preserve"> </w:t>
      </w:r>
      <w:r w:rsidR="00E65CEC" w:rsidRPr="00FB6ADA">
        <w:rPr>
          <w:rFonts w:ascii="Arial" w:hAnsi="Arial" w:cs="Arial"/>
        </w:rPr>
        <w:t>308</w:t>
      </w:r>
      <w:r w:rsidRPr="00FB6ADA">
        <w:rPr>
          <w:rFonts w:ascii="Arial" w:hAnsi="Arial" w:cs="Arial"/>
        </w:rPr>
        <w:t xml:space="preserve"> руб./кв.м. – </w:t>
      </w:r>
      <w:r w:rsidR="00E65CEC" w:rsidRPr="00FB6ADA">
        <w:rPr>
          <w:rFonts w:ascii="Arial" w:hAnsi="Arial" w:cs="Arial"/>
        </w:rPr>
        <w:t>55</w:t>
      </w:r>
      <w:r w:rsidR="00903694" w:rsidRPr="00FB6ADA">
        <w:rPr>
          <w:rFonts w:ascii="Arial" w:hAnsi="Arial" w:cs="Arial"/>
        </w:rPr>
        <w:t xml:space="preserve"> </w:t>
      </w:r>
      <w:r w:rsidR="00E65CEC" w:rsidRPr="00FB6ADA">
        <w:rPr>
          <w:rFonts w:ascii="Arial" w:hAnsi="Arial" w:cs="Arial"/>
        </w:rPr>
        <w:t>765</w:t>
      </w:r>
      <w:r w:rsidRPr="00FB6ADA">
        <w:rPr>
          <w:rFonts w:ascii="Arial" w:hAnsi="Arial" w:cs="Arial"/>
        </w:rPr>
        <w:t xml:space="preserve"> руб. /кв.м. в зависимости от различных ценообразующих факторов, в среднем же по состоянию на </w:t>
      </w:r>
      <w:r w:rsidR="00B86EA2" w:rsidRPr="00FB6ADA">
        <w:rPr>
          <w:rFonts w:ascii="Arial" w:hAnsi="Arial" w:cs="Arial"/>
        </w:rPr>
        <w:t>август</w:t>
      </w:r>
      <w:r w:rsidRPr="00FB6ADA">
        <w:rPr>
          <w:rFonts w:ascii="Arial" w:hAnsi="Arial" w:cs="Arial"/>
        </w:rPr>
        <w:t xml:space="preserve"> 2018</w:t>
      </w:r>
      <w:r w:rsidR="00903694" w:rsidRPr="00FB6ADA">
        <w:rPr>
          <w:rFonts w:ascii="Arial" w:hAnsi="Arial" w:cs="Arial"/>
        </w:rPr>
        <w:t xml:space="preserve"> </w:t>
      </w:r>
      <w:r w:rsidRPr="00FB6ADA">
        <w:rPr>
          <w:rFonts w:ascii="Arial" w:hAnsi="Arial" w:cs="Arial"/>
        </w:rPr>
        <w:t xml:space="preserve">г. цена предложения квартир составляет </w:t>
      </w:r>
      <w:r w:rsidR="00903694" w:rsidRPr="00FB6ADA">
        <w:rPr>
          <w:rFonts w:ascii="Arial" w:hAnsi="Arial" w:cs="Arial"/>
        </w:rPr>
        <w:t>3</w:t>
      </w:r>
      <w:r w:rsidR="00E65CEC" w:rsidRPr="00FB6ADA">
        <w:rPr>
          <w:rFonts w:ascii="Arial" w:hAnsi="Arial" w:cs="Arial"/>
        </w:rPr>
        <w:t>1</w:t>
      </w:r>
      <w:r w:rsidRPr="00FB6ADA">
        <w:rPr>
          <w:rFonts w:ascii="Arial" w:hAnsi="Arial" w:cs="Arial"/>
        </w:rPr>
        <w:t xml:space="preserve"> </w:t>
      </w:r>
      <w:r w:rsidR="00E65CEC" w:rsidRPr="00FB6ADA">
        <w:rPr>
          <w:rFonts w:ascii="Arial" w:hAnsi="Arial" w:cs="Arial"/>
        </w:rPr>
        <w:t>850</w:t>
      </w:r>
      <w:r w:rsidRPr="00FB6ADA">
        <w:rPr>
          <w:rFonts w:ascii="Arial" w:hAnsi="Arial" w:cs="Arial"/>
        </w:rPr>
        <w:t xml:space="preserve"> руб./кв.м.</w:t>
      </w:r>
    </w:p>
    <w:p w:rsidR="00731500" w:rsidRPr="00FB6ADA" w:rsidRDefault="00731500" w:rsidP="00731500">
      <w:pPr>
        <w:ind w:firstLine="709"/>
        <w:jc w:val="both"/>
        <w:rPr>
          <w:rFonts w:ascii="Arial" w:hAnsi="Arial" w:cs="Arial"/>
        </w:rPr>
      </w:pPr>
      <w:r w:rsidRPr="00FB6ADA">
        <w:rPr>
          <w:rFonts w:ascii="Arial" w:hAnsi="Arial" w:cs="Arial"/>
        </w:rPr>
        <w:t xml:space="preserve">Цена предложения домовладений в диапазоне от </w:t>
      </w:r>
      <w:r w:rsidR="00ED3532" w:rsidRPr="00FB6ADA">
        <w:rPr>
          <w:rFonts w:ascii="Arial" w:hAnsi="Arial" w:cs="Arial"/>
        </w:rPr>
        <w:t>7</w:t>
      </w:r>
      <w:r w:rsidRPr="00FB6ADA">
        <w:rPr>
          <w:rFonts w:ascii="Arial" w:hAnsi="Arial" w:cs="Arial"/>
        </w:rPr>
        <w:t xml:space="preserve"> </w:t>
      </w:r>
      <w:r w:rsidR="00903694" w:rsidRPr="00FB6ADA">
        <w:rPr>
          <w:rFonts w:ascii="Arial" w:hAnsi="Arial" w:cs="Arial"/>
        </w:rPr>
        <w:t>3</w:t>
      </w:r>
      <w:r w:rsidR="00ED3532" w:rsidRPr="00FB6ADA">
        <w:rPr>
          <w:rFonts w:ascii="Arial" w:hAnsi="Arial" w:cs="Arial"/>
        </w:rPr>
        <w:t>02</w:t>
      </w:r>
      <w:r w:rsidRPr="00FB6ADA">
        <w:rPr>
          <w:rFonts w:ascii="Arial" w:hAnsi="Arial" w:cs="Arial"/>
        </w:rPr>
        <w:t xml:space="preserve"> руб./кв.м. – </w:t>
      </w:r>
      <w:r w:rsidR="00ED3532" w:rsidRPr="00FB6ADA">
        <w:rPr>
          <w:rFonts w:ascii="Arial" w:hAnsi="Arial" w:cs="Arial"/>
        </w:rPr>
        <w:t>75</w:t>
      </w:r>
      <w:r w:rsidRPr="00FB6ADA">
        <w:rPr>
          <w:rFonts w:ascii="Arial" w:hAnsi="Arial" w:cs="Arial"/>
          <w:bCs/>
        </w:rPr>
        <w:t xml:space="preserve"> </w:t>
      </w:r>
      <w:r w:rsidR="00ED3532" w:rsidRPr="00FB6ADA">
        <w:rPr>
          <w:rFonts w:ascii="Arial" w:hAnsi="Arial" w:cs="Arial"/>
          <w:bCs/>
        </w:rPr>
        <w:t>714</w:t>
      </w:r>
      <w:r w:rsidRPr="00FB6ADA">
        <w:rPr>
          <w:rFonts w:ascii="Arial" w:hAnsi="Arial" w:cs="Arial"/>
        </w:rPr>
        <w:t xml:space="preserve"> руб. /кв.м. (без учета скидки на торг) составляет</w:t>
      </w:r>
      <w:r w:rsidR="00903694" w:rsidRPr="00FB6ADA">
        <w:rPr>
          <w:rFonts w:ascii="Arial" w:hAnsi="Arial" w:cs="Arial"/>
        </w:rPr>
        <w:t xml:space="preserve"> в среднем</w:t>
      </w:r>
      <w:r w:rsidRPr="00FB6ADA">
        <w:rPr>
          <w:rFonts w:ascii="Arial" w:hAnsi="Arial" w:cs="Arial"/>
        </w:rPr>
        <w:t xml:space="preserve"> </w:t>
      </w:r>
      <w:r w:rsidR="00903694" w:rsidRPr="00FB6ADA">
        <w:rPr>
          <w:rFonts w:ascii="Arial" w:hAnsi="Arial" w:cs="Arial"/>
        </w:rPr>
        <w:t>2</w:t>
      </w:r>
      <w:r w:rsidR="00ED3532" w:rsidRPr="00FB6ADA">
        <w:rPr>
          <w:rFonts w:ascii="Arial" w:hAnsi="Arial" w:cs="Arial"/>
        </w:rPr>
        <w:t>9</w:t>
      </w:r>
      <w:r w:rsidRPr="00FB6ADA">
        <w:rPr>
          <w:rFonts w:ascii="Arial" w:hAnsi="Arial" w:cs="Arial"/>
        </w:rPr>
        <w:t xml:space="preserve"> </w:t>
      </w:r>
      <w:r w:rsidR="00ED3532" w:rsidRPr="00FB6ADA">
        <w:rPr>
          <w:rFonts w:ascii="Arial" w:hAnsi="Arial" w:cs="Arial"/>
        </w:rPr>
        <w:t>167</w:t>
      </w:r>
      <w:r w:rsidRPr="00FB6ADA">
        <w:rPr>
          <w:rFonts w:ascii="Arial" w:hAnsi="Arial" w:cs="Arial"/>
        </w:rPr>
        <w:t xml:space="preserve"> руб./кв.м.</w:t>
      </w:r>
    </w:p>
    <w:p w:rsidR="00731500" w:rsidRPr="00FB6ADA" w:rsidRDefault="00731500" w:rsidP="00731500">
      <w:pPr>
        <w:ind w:firstLine="709"/>
        <w:jc w:val="both"/>
        <w:rPr>
          <w:rFonts w:ascii="Arial" w:hAnsi="Arial" w:cs="Arial"/>
        </w:rPr>
      </w:pPr>
      <w:r w:rsidRPr="00FB6ADA">
        <w:rPr>
          <w:rFonts w:ascii="Arial" w:hAnsi="Arial" w:cs="Arial"/>
        </w:rPr>
        <w:t xml:space="preserve">Динамика рынка недвижимости: наблюдается стагнация на рынке квартир </w:t>
      </w:r>
      <w:r w:rsidR="00903694" w:rsidRPr="00FB6ADA">
        <w:rPr>
          <w:rFonts w:ascii="Arial" w:hAnsi="Arial" w:cs="Arial"/>
        </w:rPr>
        <w:t xml:space="preserve">и </w:t>
      </w:r>
      <w:r w:rsidRPr="00FB6ADA">
        <w:rPr>
          <w:rFonts w:ascii="Arial" w:hAnsi="Arial" w:cs="Arial"/>
        </w:rPr>
        <w:t xml:space="preserve">домовладений. Основными факторами данных процессов являются скептические ожидания рынка на фоне снижения платежеспособного спроса. </w:t>
      </w:r>
    </w:p>
    <w:p w:rsidR="00731500" w:rsidRPr="00FB6ADA" w:rsidRDefault="00731500" w:rsidP="00731500">
      <w:pPr>
        <w:ind w:firstLine="709"/>
        <w:jc w:val="both"/>
        <w:rPr>
          <w:rFonts w:ascii="Arial" w:hAnsi="Arial" w:cs="Arial"/>
        </w:rPr>
      </w:pPr>
      <w:r w:rsidRPr="00FB6ADA">
        <w:rPr>
          <w:rFonts w:ascii="Arial" w:hAnsi="Arial" w:cs="Arial"/>
        </w:rPr>
        <w:t xml:space="preserve">Спрос, предложение: наблюдается перевес предложения над спросом, </w:t>
      </w:r>
      <w:r w:rsidR="00903694" w:rsidRPr="00FB6ADA">
        <w:rPr>
          <w:rFonts w:ascii="Arial" w:hAnsi="Arial" w:cs="Arial"/>
        </w:rPr>
        <w:t>что</w:t>
      </w:r>
      <w:r w:rsidRPr="00FB6ADA">
        <w:rPr>
          <w:rFonts w:ascii="Arial" w:hAnsi="Arial" w:cs="Arial"/>
        </w:rPr>
        <w:t xml:space="preserve"> обусловлено сложной экономической ситуацией</w:t>
      </w:r>
      <w:r w:rsidR="00903694" w:rsidRPr="00FB6ADA">
        <w:rPr>
          <w:rFonts w:ascii="Arial" w:hAnsi="Arial" w:cs="Arial"/>
        </w:rPr>
        <w:t xml:space="preserve"> в стране, большой </w:t>
      </w:r>
      <w:proofErr w:type="spellStart"/>
      <w:r w:rsidR="00903694" w:rsidRPr="00FB6ADA">
        <w:rPr>
          <w:rFonts w:ascii="Arial" w:hAnsi="Arial" w:cs="Arial"/>
        </w:rPr>
        <w:t>закредитованностью</w:t>
      </w:r>
      <w:proofErr w:type="spellEnd"/>
      <w:r w:rsidR="00903694" w:rsidRPr="00FB6ADA">
        <w:rPr>
          <w:rFonts w:ascii="Arial" w:hAnsi="Arial" w:cs="Arial"/>
        </w:rPr>
        <w:t xml:space="preserve"> населения</w:t>
      </w:r>
      <w:r w:rsidRPr="00FB6ADA">
        <w:rPr>
          <w:rFonts w:ascii="Arial" w:hAnsi="Arial" w:cs="Arial"/>
        </w:rPr>
        <w:t>.</w:t>
      </w:r>
    </w:p>
    <w:p w:rsidR="002D1E4F" w:rsidRPr="00FB6ADA" w:rsidRDefault="00731500" w:rsidP="00661195">
      <w:pPr>
        <w:ind w:firstLine="709"/>
        <w:jc w:val="both"/>
        <w:rPr>
          <w:rFonts w:ascii="Arial" w:hAnsi="Arial" w:cs="Arial"/>
        </w:rPr>
      </w:pPr>
      <w:r w:rsidRPr="00FB6ADA">
        <w:rPr>
          <w:rFonts w:ascii="Arial" w:hAnsi="Arial" w:cs="Arial"/>
        </w:rPr>
        <w:t>Объем продаж: по информации профессиональных участников рынка недвижимости, объем продаж по отношению к периоду годом ранее (в докризисный период),  снизился, что объясняется также сложной экономической ситуацией  в стране.</w:t>
      </w:r>
    </w:p>
    <w:p w:rsidR="00152F86" w:rsidRPr="00FB6ADA" w:rsidRDefault="00152F86" w:rsidP="00EE29B5">
      <w:pPr>
        <w:spacing w:after="240"/>
        <w:jc w:val="both"/>
        <w:rPr>
          <w:rFonts w:ascii="Arial" w:hAnsi="Arial" w:cs="Arial"/>
          <w:b/>
        </w:rPr>
      </w:pPr>
    </w:p>
    <w:p w:rsidR="004E7442" w:rsidRPr="00FB6ADA" w:rsidRDefault="004E7442" w:rsidP="00903694">
      <w:pPr>
        <w:pageBreakBefore/>
        <w:jc w:val="center"/>
        <w:outlineLvl w:val="1"/>
        <w:rPr>
          <w:rFonts w:ascii="Arial" w:hAnsi="Arial" w:cs="Arial"/>
          <w:b/>
        </w:rPr>
      </w:pPr>
      <w:r w:rsidRPr="00FB6ADA">
        <w:rPr>
          <w:rFonts w:ascii="Arial" w:hAnsi="Arial" w:cs="Arial"/>
          <w:b/>
        </w:rPr>
        <w:lastRenderedPageBreak/>
        <w:t>Рынок коммерческой недвижимости</w:t>
      </w:r>
    </w:p>
    <w:p w:rsidR="00A0089D" w:rsidRPr="00FB6ADA" w:rsidRDefault="00A0089D" w:rsidP="00FB6ADA">
      <w:pPr>
        <w:ind w:firstLine="708"/>
        <w:jc w:val="both"/>
        <w:rPr>
          <w:rFonts w:ascii="Arial" w:hAnsi="Arial" w:cs="Arial"/>
          <w:bCs/>
        </w:rPr>
      </w:pPr>
      <w:r w:rsidRPr="00FB6ADA">
        <w:rPr>
          <w:rFonts w:ascii="Arial" w:hAnsi="Arial" w:cs="Arial"/>
          <w:bCs/>
        </w:rPr>
        <w:t>Наиболее развитыми секторами рынка коммерческой недвижимости Республики Калмыкия являются офисны</w:t>
      </w:r>
      <w:r w:rsidR="00064D0F" w:rsidRPr="00FB6ADA">
        <w:rPr>
          <w:rFonts w:ascii="Arial" w:hAnsi="Arial" w:cs="Arial"/>
          <w:bCs/>
        </w:rPr>
        <w:t>й,</w:t>
      </w:r>
      <w:r w:rsidRPr="00FB6ADA">
        <w:rPr>
          <w:rFonts w:ascii="Arial" w:hAnsi="Arial" w:cs="Arial"/>
          <w:bCs/>
        </w:rPr>
        <w:t xml:space="preserve"> торговы</w:t>
      </w:r>
      <w:r w:rsidR="00064D0F" w:rsidRPr="00FB6ADA">
        <w:rPr>
          <w:rFonts w:ascii="Arial" w:hAnsi="Arial" w:cs="Arial"/>
          <w:bCs/>
        </w:rPr>
        <w:t>й</w:t>
      </w:r>
      <w:r w:rsidRPr="00FB6ADA">
        <w:rPr>
          <w:rFonts w:ascii="Arial" w:hAnsi="Arial" w:cs="Arial"/>
          <w:bCs/>
        </w:rPr>
        <w:t xml:space="preserve"> </w:t>
      </w:r>
      <w:r w:rsidR="00064D0F" w:rsidRPr="00FB6ADA">
        <w:rPr>
          <w:rFonts w:ascii="Arial" w:hAnsi="Arial" w:cs="Arial"/>
          <w:bCs/>
        </w:rPr>
        <w:t xml:space="preserve">и </w:t>
      </w:r>
      <w:r w:rsidRPr="00FB6ADA">
        <w:rPr>
          <w:rFonts w:ascii="Arial" w:hAnsi="Arial" w:cs="Arial"/>
          <w:bCs/>
        </w:rPr>
        <w:t>сектор</w:t>
      </w:r>
      <w:r w:rsidR="00064D0F" w:rsidRPr="00FB6ADA">
        <w:rPr>
          <w:rFonts w:ascii="Arial" w:hAnsi="Arial" w:cs="Arial"/>
          <w:bCs/>
        </w:rPr>
        <w:t xml:space="preserve"> недвижимости свободного назначения (без жестко обусловленной специализации, в этой же категории объекты без внутренней отделки)</w:t>
      </w:r>
      <w:r w:rsidRPr="00FB6ADA">
        <w:rPr>
          <w:rFonts w:ascii="Arial" w:hAnsi="Arial" w:cs="Arial"/>
          <w:bCs/>
        </w:rPr>
        <w:t>. При этом количество производственных</w:t>
      </w:r>
      <w:r w:rsidR="00064D0F" w:rsidRPr="00FB6ADA">
        <w:rPr>
          <w:rFonts w:ascii="Arial" w:hAnsi="Arial" w:cs="Arial"/>
          <w:bCs/>
        </w:rPr>
        <w:t>,</w:t>
      </w:r>
      <w:r w:rsidRPr="00FB6ADA">
        <w:rPr>
          <w:rFonts w:ascii="Arial" w:hAnsi="Arial" w:cs="Arial"/>
          <w:bCs/>
        </w:rPr>
        <w:t xml:space="preserve"> складских </w:t>
      </w:r>
      <w:r w:rsidR="00064D0F" w:rsidRPr="00FB6ADA">
        <w:rPr>
          <w:rFonts w:ascii="Arial" w:hAnsi="Arial" w:cs="Arial"/>
          <w:bCs/>
        </w:rPr>
        <w:t xml:space="preserve">и </w:t>
      </w:r>
      <w:r w:rsidRPr="00FB6ADA">
        <w:rPr>
          <w:rFonts w:ascii="Arial" w:hAnsi="Arial" w:cs="Arial"/>
          <w:bCs/>
        </w:rPr>
        <w:t xml:space="preserve">помещений </w:t>
      </w:r>
      <w:r w:rsidR="00064D0F" w:rsidRPr="00FB6ADA">
        <w:rPr>
          <w:rFonts w:ascii="Arial" w:hAnsi="Arial" w:cs="Arial"/>
          <w:bCs/>
        </w:rPr>
        <w:t xml:space="preserve">общественного питания сравнительно </w:t>
      </w:r>
      <w:r w:rsidRPr="00FB6ADA">
        <w:rPr>
          <w:rFonts w:ascii="Arial" w:hAnsi="Arial" w:cs="Arial"/>
          <w:bCs/>
        </w:rPr>
        <w:t>невелико.</w:t>
      </w:r>
    </w:p>
    <w:p w:rsidR="00B33D45" w:rsidRPr="00FB6ADA" w:rsidRDefault="00064D0F" w:rsidP="00B33D45">
      <w:pPr>
        <w:keepNext/>
        <w:jc w:val="center"/>
        <w:outlineLvl w:val="1"/>
        <w:rPr>
          <w:rFonts w:ascii="Arial" w:hAnsi="Arial" w:cs="Arial"/>
        </w:rPr>
      </w:pPr>
      <w:r w:rsidRPr="00FB6ADA">
        <w:rPr>
          <w:rFonts w:ascii="Arial" w:hAnsi="Arial" w:cs="Arial"/>
          <w:b/>
          <w:noProof/>
        </w:rPr>
        <w:drawing>
          <wp:inline distT="0" distB="0" distL="0" distR="0">
            <wp:extent cx="4572000" cy="2743200"/>
            <wp:effectExtent l="19050" t="0" r="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33D45" w:rsidRPr="00FB6ADA" w:rsidRDefault="00B33D45" w:rsidP="00B33D45">
      <w:pPr>
        <w:pStyle w:val="ac"/>
        <w:jc w:val="center"/>
        <w:rPr>
          <w:rFonts w:ascii="Arial" w:hAnsi="Arial" w:cs="Arial"/>
          <w:sz w:val="24"/>
          <w:szCs w:val="24"/>
        </w:rPr>
      </w:pPr>
      <w:r w:rsidRPr="00FB6ADA">
        <w:rPr>
          <w:rFonts w:ascii="Arial" w:hAnsi="Arial" w:cs="Arial"/>
          <w:sz w:val="24"/>
          <w:szCs w:val="24"/>
        </w:rPr>
        <w:t xml:space="preserve">Рисунок </w:t>
      </w:r>
      <w:r w:rsidR="001614C0" w:rsidRPr="00FB6ADA">
        <w:rPr>
          <w:rFonts w:ascii="Arial" w:hAnsi="Arial" w:cs="Arial"/>
          <w:sz w:val="24"/>
          <w:szCs w:val="24"/>
        </w:rPr>
        <w:fldChar w:fldCharType="begin"/>
      </w:r>
      <w:r w:rsidR="007A6D40" w:rsidRPr="00FB6ADA">
        <w:rPr>
          <w:rFonts w:ascii="Arial" w:hAnsi="Arial" w:cs="Arial"/>
          <w:sz w:val="24"/>
          <w:szCs w:val="24"/>
        </w:rPr>
        <w:instrText xml:space="preserve"> SEQ Рисунок \* ARABIC </w:instrText>
      </w:r>
      <w:r w:rsidR="001614C0" w:rsidRPr="00FB6ADA">
        <w:rPr>
          <w:rFonts w:ascii="Arial" w:hAnsi="Arial" w:cs="Arial"/>
          <w:sz w:val="24"/>
          <w:szCs w:val="24"/>
        </w:rPr>
        <w:fldChar w:fldCharType="separate"/>
      </w:r>
      <w:r w:rsidR="00225215" w:rsidRPr="00FB6ADA">
        <w:rPr>
          <w:rFonts w:ascii="Arial" w:hAnsi="Arial" w:cs="Arial"/>
          <w:noProof/>
          <w:sz w:val="24"/>
          <w:szCs w:val="24"/>
        </w:rPr>
        <w:t>2</w:t>
      </w:r>
      <w:r w:rsidR="001614C0" w:rsidRPr="00FB6ADA">
        <w:rPr>
          <w:rFonts w:ascii="Arial" w:hAnsi="Arial" w:cs="Arial"/>
          <w:sz w:val="24"/>
          <w:szCs w:val="24"/>
        </w:rPr>
        <w:fldChar w:fldCharType="end"/>
      </w:r>
      <w:r w:rsidRPr="00FB6ADA">
        <w:rPr>
          <w:rFonts w:ascii="Arial" w:hAnsi="Arial" w:cs="Arial"/>
          <w:sz w:val="24"/>
          <w:szCs w:val="24"/>
        </w:rPr>
        <w:t xml:space="preserve"> Структура продаж по функциональному назначению</w:t>
      </w:r>
    </w:p>
    <w:p w:rsidR="00FD082E" w:rsidRPr="00FB6ADA" w:rsidRDefault="00FD082E" w:rsidP="00A6484B">
      <w:pPr>
        <w:jc w:val="center"/>
        <w:outlineLvl w:val="1"/>
        <w:rPr>
          <w:rFonts w:ascii="Arial" w:hAnsi="Arial" w:cs="Arial"/>
          <w:b/>
        </w:rPr>
      </w:pPr>
    </w:p>
    <w:p w:rsidR="00B33D45" w:rsidRPr="00FB6ADA" w:rsidRDefault="00B33D45" w:rsidP="00B33D45">
      <w:pPr>
        <w:ind w:firstLine="709"/>
        <w:jc w:val="both"/>
        <w:outlineLvl w:val="1"/>
        <w:rPr>
          <w:rFonts w:ascii="Arial" w:hAnsi="Arial" w:cs="Arial"/>
          <w:b/>
        </w:rPr>
      </w:pPr>
      <w:r w:rsidRPr="00FB6ADA">
        <w:rPr>
          <w:rFonts w:ascii="Arial" w:hAnsi="Arial" w:cs="Arial"/>
          <w:b/>
        </w:rPr>
        <w:t>Торгово-офисная недвижимость</w:t>
      </w:r>
    </w:p>
    <w:p w:rsidR="004E7442" w:rsidRPr="00FB6ADA" w:rsidRDefault="004E7442" w:rsidP="004E7442">
      <w:pPr>
        <w:ind w:firstLine="709"/>
        <w:jc w:val="both"/>
        <w:outlineLvl w:val="1"/>
        <w:rPr>
          <w:rFonts w:ascii="Arial" w:hAnsi="Arial" w:cs="Arial"/>
          <w:spacing w:val="-6"/>
        </w:rPr>
      </w:pPr>
      <w:r w:rsidRPr="00FB6ADA">
        <w:rPr>
          <w:rFonts w:ascii="Arial" w:hAnsi="Arial" w:cs="Arial"/>
          <w:spacing w:val="-6"/>
        </w:rPr>
        <w:t>Результат проведенного анализа представлен в следующей таблице.</w:t>
      </w:r>
      <w:r w:rsidRPr="00FB6ADA">
        <w:rPr>
          <w:rFonts w:ascii="Arial" w:hAnsi="Arial" w:cs="Arial"/>
        </w:rPr>
        <w:t xml:space="preserve"> </w:t>
      </w:r>
    </w:p>
    <w:tbl>
      <w:tblPr>
        <w:tblStyle w:val="-"/>
        <w:tblW w:w="5000" w:type="pct"/>
        <w:tblBorders>
          <w:insideH w:val="single" w:sz="4" w:space="0" w:color="D9D9D9" w:themeColor="background1" w:themeShade="D9"/>
        </w:tblBorders>
        <w:tblLook w:val="04A0" w:firstRow="1" w:lastRow="0" w:firstColumn="1" w:lastColumn="0" w:noHBand="0" w:noVBand="1"/>
      </w:tblPr>
      <w:tblGrid>
        <w:gridCol w:w="3652"/>
        <w:gridCol w:w="3402"/>
        <w:gridCol w:w="2517"/>
      </w:tblGrid>
      <w:tr w:rsidR="00B33D45" w:rsidRPr="00FB6ADA" w:rsidTr="00432E11">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908" w:type="pct"/>
            <w:shd w:val="clear" w:color="auto" w:fill="D9D9D9" w:themeFill="background1" w:themeFillShade="D9"/>
            <w:hideMark/>
          </w:tcPr>
          <w:p w:rsidR="00B33D45" w:rsidRPr="00FB6ADA" w:rsidRDefault="00B33D45" w:rsidP="00432E11">
            <w:pPr>
              <w:rPr>
                <w:rFonts w:ascii="Arial" w:hAnsi="Arial" w:cs="Arial"/>
                <w:b w:val="0"/>
                <w:color w:val="auto"/>
                <w:szCs w:val="24"/>
              </w:rPr>
            </w:pPr>
            <w:r w:rsidRPr="00FB6ADA">
              <w:rPr>
                <w:rFonts w:ascii="Arial" w:hAnsi="Arial" w:cs="Arial"/>
                <w:b w:val="0"/>
                <w:color w:val="auto"/>
                <w:szCs w:val="24"/>
              </w:rPr>
              <w:t>Диапазон цен единого объекта, руб.</w:t>
            </w:r>
          </w:p>
        </w:tc>
        <w:tc>
          <w:tcPr>
            <w:tcW w:w="1777" w:type="pct"/>
            <w:shd w:val="clear" w:color="auto" w:fill="D9D9D9" w:themeFill="background1" w:themeFillShade="D9"/>
          </w:tcPr>
          <w:p w:rsidR="00B33D45" w:rsidRPr="00FB6ADA" w:rsidRDefault="00B33D45" w:rsidP="00432E11">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4"/>
              </w:rPr>
            </w:pPr>
            <w:r w:rsidRPr="00FB6ADA">
              <w:rPr>
                <w:rFonts w:ascii="Arial" w:hAnsi="Arial" w:cs="Arial"/>
                <w:b w:val="0"/>
                <w:color w:val="auto"/>
                <w:szCs w:val="24"/>
              </w:rPr>
              <w:t>Диапазон цен, руб. за 1 кв.м</w:t>
            </w:r>
          </w:p>
        </w:tc>
        <w:tc>
          <w:tcPr>
            <w:tcW w:w="1315" w:type="pct"/>
            <w:shd w:val="clear" w:color="auto" w:fill="D9D9D9" w:themeFill="background1" w:themeFillShade="D9"/>
            <w:hideMark/>
          </w:tcPr>
          <w:p w:rsidR="00B33D45" w:rsidRPr="00FB6ADA" w:rsidRDefault="00B33D45" w:rsidP="00432E11">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4"/>
              </w:rPr>
            </w:pPr>
            <w:r w:rsidRPr="00FB6ADA">
              <w:rPr>
                <w:rFonts w:ascii="Arial" w:hAnsi="Arial" w:cs="Arial"/>
                <w:b w:val="0"/>
                <w:color w:val="auto"/>
                <w:szCs w:val="24"/>
              </w:rPr>
              <w:t>Ср. цена руб. за 1 кв. м.</w:t>
            </w:r>
          </w:p>
        </w:tc>
      </w:tr>
      <w:tr w:rsidR="00B33D45" w:rsidRPr="00FB6ADA" w:rsidTr="00432E11">
        <w:trPr>
          <w:trHeight w:val="20"/>
        </w:trPr>
        <w:tc>
          <w:tcPr>
            <w:cnfStyle w:val="001000000000" w:firstRow="0" w:lastRow="0" w:firstColumn="1" w:lastColumn="0" w:oddVBand="0" w:evenVBand="0" w:oddHBand="0" w:evenHBand="0" w:firstRowFirstColumn="0" w:firstRowLastColumn="0" w:lastRowFirstColumn="0" w:lastRowLastColumn="0"/>
            <w:tcW w:w="1908" w:type="pct"/>
            <w:hideMark/>
          </w:tcPr>
          <w:p w:rsidR="00B33D45" w:rsidRPr="00FB6ADA" w:rsidRDefault="00703797" w:rsidP="00703797">
            <w:pPr>
              <w:rPr>
                <w:rFonts w:ascii="Arial" w:hAnsi="Arial" w:cs="Arial"/>
                <w:b/>
                <w:bCs/>
                <w:color w:val="auto"/>
                <w:szCs w:val="24"/>
              </w:rPr>
            </w:pPr>
            <w:r>
              <w:rPr>
                <w:rFonts w:ascii="Arial" w:hAnsi="Arial" w:cs="Arial"/>
                <w:b/>
                <w:bCs/>
                <w:color w:val="auto"/>
                <w:szCs w:val="24"/>
              </w:rPr>
              <w:t>1 35</w:t>
            </w:r>
            <w:r w:rsidR="00B33D45" w:rsidRPr="00FB6ADA">
              <w:rPr>
                <w:rFonts w:ascii="Arial" w:hAnsi="Arial" w:cs="Arial"/>
                <w:b/>
                <w:bCs/>
                <w:color w:val="auto"/>
                <w:szCs w:val="24"/>
              </w:rPr>
              <w:t xml:space="preserve">0 000 </w:t>
            </w:r>
            <w:r>
              <w:rPr>
                <w:rFonts w:ascii="Arial" w:hAnsi="Arial" w:cs="Arial"/>
                <w:b/>
                <w:bCs/>
                <w:color w:val="auto"/>
                <w:szCs w:val="24"/>
              </w:rPr>
              <w:t>–</w:t>
            </w:r>
            <w:r w:rsidR="00B33D45" w:rsidRPr="00FB6ADA">
              <w:rPr>
                <w:rFonts w:ascii="Arial" w:hAnsi="Arial" w:cs="Arial"/>
                <w:b/>
                <w:bCs/>
                <w:color w:val="auto"/>
                <w:szCs w:val="24"/>
              </w:rPr>
              <w:t xml:space="preserve"> 1</w:t>
            </w:r>
            <w:r>
              <w:rPr>
                <w:rFonts w:ascii="Arial" w:hAnsi="Arial" w:cs="Arial"/>
                <w:b/>
                <w:bCs/>
                <w:color w:val="auto"/>
                <w:szCs w:val="24"/>
              </w:rPr>
              <w:t>9 999 999</w:t>
            </w:r>
          </w:p>
        </w:tc>
        <w:tc>
          <w:tcPr>
            <w:tcW w:w="1777" w:type="pct"/>
            <w:shd w:val="clear" w:color="auto" w:fill="D9D9D9" w:themeFill="background1" w:themeFillShade="D9"/>
          </w:tcPr>
          <w:p w:rsidR="00B33D45" w:rsidRPr="00FB6ADA" w:rsidRDefault="00703797" w:rsidP="00703797">
            <w:pP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Cs w:val="24"/>
              </w:rPr>
            </w:pPr>
            <w:r>
              <w:rPr>
                <w:rFonts w:ascii="Arial" w:hAnsi="Arial" w:cs="Arial"/>
                <w:b/>
                <w:bCs/>
                <w:color w:val="auto"/>
                <w:szCs w:val="24"/>
              </w:rPr>
              <w:t>2</w:t>
            </w:r>
            <w:r w:rsidR="00B33D45" w:rsidRPr="00FB6ADA">
              <w:rPr>
                <w:rFonts w:ascii="Arial" w:hAnsi="Arial" w:cs="Arial"/>
                <w:b/>
                <w:bCs/>
                <w:color w:val="auto"/>
                <w:szCs w:val="24"/>
              </w:rPr>
              <w:t xml:space="preserve"> 5</w:t>
            </w:r>
            <w:r>
              <w:rPr>
                <w:rFonts w:ascii="Arial" w:hAnsi="Arial" w:cs="Arial"/>
                <w:b/>
                <w:bCs/>
                <w:color w:val="auto"/>
                <w:szCs w:val="24"/>
              </w:rPr>
              <w:t>00</w:t>
            </w:r>
            <w:r w:rsidR="00B33D45" w:rsidRPr="00FB6ADA">
              <w:rPr>
                <w:rFonts w:ascii="Arial" w:hAnsi="Arial" w:cs="Arial"/>
                <w:b/>
                <w:bCs/>
                <w:color w:val="auto"/>
                <w:szCs w:val="24"/>
              </w:rPr>
              <w:t xml:space="preserve"> - 75 000</w:t>
            </w:r>
          </w:p>
        </w:tc>
        <w:tc>
          <w:tcPr>
            <w:tcW w:w="1315" w:type="pct"/>
            <w:shd w:val="clear" w:color="auto" w:fill="D9D9D9" w:themeFill="background1" w:themeFillShade="D9"/>
            <w:hideMark/>
          </w:tcPr>
          <w:p w:rsidR="00B33D45" w:rsidRPr="00FB6ADA" w:rsidRDefault="00B33D45" w:rsidP="00703797">
            <w:pP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Cs w:val="24"/>
              </w:rPr>
            </w:pPr>
            <w:r w:rsidRPr="00FB6ADA">
              <w:rPr>
                <w:rFonts w:ascii="Arial" w:hAnsi="Arial" w:cs="Arial"/>
                <w:b/>
                <w:bCs/>
                <w:color w:val="auto"/>
                <w:szCs w:val="24"/>
              </w:rPr>
              <w:t>2</w:t>
            </w:r>
            <w:r w:rsidR="00703797">
              <w:rPr>
                <w:rFonts w:ascii="Arial" w:hAnsi="Arial" w:cs="Arial"/>
                <w:b/>
                <w:bCs/>
                <w:color w:val="auto"/>
                <w:szCs w:val="24"/>
              </w:rPr>
              <w:t>0 000 – 25 000</w:t>
            </w:r>
          </w:p>
        </w:tc>
      </w:tr>
    </w:tbl>
    <w:p w:rsidR="0035714C" w:rsidRPr="00FB6ADA" w:rsidRDefault="0035714C" w:rsidP="0035714C">
      <w:pPr>
        <w:outlineLvl w:val="1"/>
        <w:rPr>
          <w:rFonts w:ascii="Arial" w:hAnsi="Arial" w:cs="Arial"/>
          <w:b/>
        </w:rPr>
      </w:pPr>
    </w:p>
    <w:p w:rsidR="004E7442" w:rsidRPr="00FB6ADA" w:rsidRDefault="004E7442" w:rsidP="004E7442">
      <w:pPr>
        <w:ind w:firstLine="709"/>
        <w:jc w:val="both"/>
        <w:outlineLvl w:val="1"/>
        <w:rPr>
          <w:rFonts w:ascii="Arial" w:hAnsi="Arial" w:cs="Arial"/>
          <w:b/>
        </w:rPr>
      </w:pPr>
      <w:r w:rsidRPr="00FB6ADA">
        <w:rPr>
          <w:rFonts w:ascii="Arial" w:hAnsi="Arial" w:cs="Arial"/>
          <w:b/>
        </w:rPr>
        <w:t>Производственно-складская недвижимость</w:t>
      </w:r>
    </w:p>
    <w:p w:rsidR="004E7442" w:rsidRPr="00FB6ADA" w:rsidRDefault="004E7442" w:rsidP="004E7442">
      <w:pPr>
        <w:ind w:firstLine="709"/>
        <w:jc w:val="both"/>
        <w:outlineLvl w:val="1"/>
        <w:rPr>
          <w:rFonts w:ascii="Arial" w:hAnsi="Arial" w:cs="Arial"/>
          <w:b/>
        </w:rPr>
      </w:pPr>
      <w:r w:rsidRPr="00FB6ADA">
        <w:rPr>
          <w:rFonts w:ascii="Arial" w:hAnsi="Arial" w:cs="Arial"/>
          <w:spacing w:val="-6"/>
        </w:rPr>
        <w:t>Результат проведенного анализа представлен в следующей таблице.</w:t>
      </w:r>
    </w:p>
    <w:tbl>
      <w:tblPr>
        <w:tblStyle w:val="-"/>
        <w:tblW w:w="5000" w:type="pct"/>
        <w:tblBorders>
          <w:insideH w:val="single" w:sz="4" w:space="0" w:color="D9D9D9" w:themeColor="background1" w:themeShade="D9"/>
        </w:tblBorders>
        <w:tblLook w:val="04A0" w:firstRow="1" w:lastRow="0" w:firstColumn="1" w:lastColumn="0" w:noHBand="0" w:noVBand="1"/>
      </w:tblPr>
      <w:tblGrid>
        <w:gridCol w:w="3652"/>
        <w:gridCol w:w="3402"/>
        <w:gridCol w:w="2517"/>
      </w:tblGrid>
      <w:tr w:rsidR="00B33D45" w:rsidRPr="00FB6ADA" w:rsidTr="00432E11">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908" w:type="pct"/>
            <w:shd w:val="clear" w:color="auto" w:fill="D9D9D9" w:themeFill="background1" w:themeFillShade="D9"/>
            <w:hideMark/>
          </w:tcPr>
          <w:p w:rsidR="00B33D45" w:rsidRPr="00FB6ADA" w:rsidRDefault="00B33D45" w:rsidP="00432E11">
            <w:pPr>
              <w:rPr>
                <w:rFonts w:ascii="Arial" w:hAnsi="Arial" w:cs="Arial"/>
                <w:b w:val="0"/>
                <w:color w:val="auto"/>
                <w:szCs w:val="24"/>
              </w:rPr>
            </w:pPr>
            <w:r w:rsidRPr="00FB6ADA">
              <w:rPr>
                <w:rFonts w:ascii="Arial" w:hAnsi="Arial" w:cs="Arial"/>
                <w:b w:val="0"/>
                <w:color w:val="auto"/>
                <w:szCs w:val="24"/>
              </w:rPr>
              <w:t>Диапазон цен единого объекта, руб.</w:t>
            </w:r>
          </w:p>
        </w:tc>
        <w:tc>
          <w:tcPr>
            <w:tcW w:w="1777" w:type="pct"/>
            <w:shd w:val="clear" w:color="auto" w:fill="D9D9D9" w:themeFill="background1" w:themeFillShade="D9"/>
          </w:tcPr>
          <w:p w:rsidR="00B33D45" w:rsidRPr="00FB6ADA" w:rsidRDefault="00B33D45" w:rsidP="00432E11">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4"/>
              </w:rPr>
            </w:pPr>
            <w:r w:rsidRPr="00FB6ADA">
              <w:rPr>
                <w:rFonts w:ascii="Arial" w:hAnsi="Arial" w:cs="Arial"/>
                <w:b w:val="0"/>
                <w:color w:val="auto"/>
                <w:szCs w:val="24"/>
              </w:rPr>
              <w:t>Диапазон цен, руб. за 1 кв.м</w:t>
            </w:r>
          </w:p>
        </w:tc>
        <w:tc>
          <w:tcPr>
            <w:tcW w:w="1315" w:type="pct"/>
            <w:shd w:val="clear" w:color="auto" w:fill="D9D9D9" w:themeFill="background1" w:themeFillShade="D9"/>
            <w:hideMark/>
          </w:tcPr>
          <w:p w:rsidR="00B33D45" w:rsidRPr="00FB6ADA" w:rsidRDefault="00B33D45" w:rsidP="00432E11">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4"/>
              </w:rPr>
            </w:pPr>
            <w:r w:rsidRPr="00FB6ADA">
              <w:rPr>
                <w:rFonts w:ascii="Arial" w:hAnsi="Arial" w:cs="Arial"/>
                <w:b w:val="0"/>
                <w:color w:val="auto"/>
                <w:szCs w:val="24"/>
              </w:rPr>
              <w:t>Ср. цена руб. за 1 кв. м.</w:t>
            </w:r>
          </w:p>
        </w:tc>
      </w:tr>
      <w:tr w:rsidR="00B33D45" w:rsidRPr="00FB6ADA" w:rsidTr="00432E11">
        <w:trPr>
          <w:trHeight w:val="20"/>
        </w:trPr>
        <w:tc>
          <w:tcPr>
            <w:cnfStyle w:val="001000000000" w:firstRow="0" w:lastRow="0" w:firstColumn="1" w:lastColumn="0" w:oddVBand="0" w:evenVBand="0" w:oddHBand="0" w:evenHBand="0" w:firstRowFirstColumn="0" w:firstRowLastColumn="0" w:lastRowFirstColumn="0" w:lastRowLastColumn="0"/>
            <w:tcW w:w="1908" w:type="pct"/>
            <w:hideMark/>
          </w:tcPr>
          <w:p w:rsidR="00B33D45" w:rsidRPr="00FB6ADA" w:rsidRDefault="00703797" w:rsidP="00703797">
            <w:pPr>
              <w:rPr>
                <w:rFonts w:ascii="Arial" w:hAnsi="Arial" w:cs="Arial"/>
                <w:b/>
                <w:bCs/>
                <w:color w:val="auto"/>
                <w:szCs w:val="24"/>
              </w:rPr>
            </w:pPr>
            <w:r>
              <w:rPr>
                <w:rFonts w:ascii="Arial" w:hAnsi="Arial" w:cs="Arial"/>
                <w:b/>
                <w:bCs/>
                <w:color w:val="auto"/>
                <w:szCs w:val="24"/>
              </w:rPr>
              <w:t>2 100</w:t>
            </w:r>
            <w:r w:rsidR="00B33D45" w:rsidRPr="00FB6ADA">
              <w:rPr>
                <w:rFonts w:ascii="Arial" w:hAnsi="Arial" w:cs="Arial"/>
                <w:b/>
                <w:bCs/>
                <w:color w:val="auto"/>
                <w:szCs w:val="24"/>
              </w:rPr>
              <w:t xml:space="preserve"> 000 - 123 456 789</w:t>
            </w:r>
          </w:p>
        </w:tc>
        <w:tc>
          <w:tcPr>
            <w:tcW w:w="1777" w:type="pct"/>
            <w:shd w:val="clear" w:color="auto" w:fill="D9D9D9" w:themeFill="background1" w:themeFillShade="D9"/>
          </w:tcPr>
          <w:p w:rsidR="00B33D45" w:rsidRPr="00FB6ADA" w:rsidRDefault="00703797" w:rsidP="00703797">
            <w:pP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Cs w:val="24"/>
              </w:rPr>
            </w:pPr>
            <w:r>
              <w:rPr>
                <w:rFonts w:ascii="Arial" w:hAnsi="Arial" w:cs="Arial"/>
                <w:b/>
                <w:bCs/>
                <w:color w:val="auto"/>
                <w:szCs w:val="24"/>
              </w:rPr>
              <w:t>1 254</w:t>
            </w:r>
            <w:r w:rsidR="00B33D45" w:rsidRPr="00FB6ADA">
              <w:rPr>
                <w:rFonts w:ascii="Arial" w:hAnsi="Arial" w:cs="Arial"/>
                <w:b/>
                <w:bCs/>
                <w:color w:val="auto"/>
                <w:szCs w:val="24"/>
              </w:rPr>
              <w:t xml:space="preserve"> - 1</w:t>
            </w:r>
            <w:r>
              <w:rPr>
                <w:rFonts w:ascii="Arial" w:hAnsi="Arial" w:cs="Arial"/>
                <w:b/>
                <w:bCs/>
                <w:color w:val="auto"/>
                <w:szCs w:val="24"/>
              </w:rPr>
              <w:t xml:space="preserve">00 </w:t>
            </w:r>
            <w:r w:rsidR="00B33D45" w:rsidRPr="00FB6ADA">
              <w:rPr>
                <w:rFonts w:ascii="Arial" w:hAnsi="Arial" w:cs="Arial"/>
                <w:b/>
                <w:bCs/>
                <w:color w:val="auto"/>
                <w:szCs w:val="24"/>
              </w:rPr>
              <w:t>000</w:t>
            </w:r>
          </w:p>
        </w:tc>
        <w:tc>
          <w:tcPr>
            <w:tcW w:w="1315" w:type="pct"/>
            <w:shd w:val="clear" w:color="auto" w:fill="D9D9D9" w:themeFill="background1" w:themeFillShade="D9"/>
            <w:hideMark/>
          </w:tcPr>
          <w:p w:rsidR="00B33D45" w:rsidRPr="00FB6ADA" w:rsidRDefault="00703797" w:rsidP="00B33D45">
            <w:pP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Cs w:val="24"/>
              </w:rPr>
            </w:pPr>
            <w:r>
              <w:rPr>
                <w:rFonts w:ascii="Arial" w:hAnsi="Arial" w:cs="Arial"/>
                <w:b/>
                <w:bCs/>
                <w:color w:val="auto"/>
                <w:szCs w:val="24"/>
              </w:rPr>
              <w:t>7 000 – 12 000</w:t>
            </w:r>
          </w:p>
        </w:tc>
      </w:tr>
    </w:tbl>
    <w:p w:rsidR="004E7442" w:rsidRPr="00FB6ADA" w:rsidRDefault="004E7442" w:rsidP="00EE29B5">
      <w:pPr>
        <w:outlineLvl w:val="1"/>
        <w:rPr>
          <w:rFonts w:ascii="Arial" w:hAnsi="Arial" w:cs="Arial"/>
          <w:b/>
        </w:rPr>
      </w:pPr>
    </w:p>
    <w:p w:rsidR="00064D0F" w:rsidRPr="00FB6ADA" w:rsidRDefault="00064D0F" w:rsidP="00064D0F">
      <w:pPr>
        <w:ind w:firstLine="709"/>
        <w:jc w:val="both"/>
        <w:outlineLvl w:val="1"/>
        <w:rPr>
          <w:rFonts w:ascii="Arial" w:hAnsi="Arial" w:cs="Arial"/>
          <w:b/>
        </w:rPr>
      </w:pPr>
      <w:r w:rsidRPr="00FB6ADA">
        <w:rPr>
          <w:rFonts w:ascii="Arial" w:hAnsi="Arial" w:cs="Arial"/>
          <w:b/>
        </w:rPr>
        <w:t>Объекты общественного питания</w:t>
      </w:r>
    </w:p>
    <w:p w:rsidR="00064D0F" w:rsidRPr="00FB6ADA" w:rsidRDefault="00064D0F" w:rsidP="00064D0F">
      <w:pPr>
        <w:ind w:firstLine="709"/>
        <w:jc w:val="both"/>
        <w:outlineLvl w:val="1"/>
        <w:rPr>
          <w:rFonts w:ascii="Arial" w:hAnsi="Arial" w:cs="Arial"/>
          <w:spacing w:val="-6"/>
        </w:rPr>
      </w:pPr>
      <w:r w:rsidRPr="00FB6ADA">
        <w:rPr>
          <w:rFonts w:ascii="Arial" w:hAnsi="Arial" w:cs="Arial"/>
          <w:spacing w:val="-6"/>
        </w:rPr>
        <w:t>Результат проведенного анализа представлен в следующей таблице.</w:t>
      </w:r>
      <w:r w:rsidRPr="00FB6ADA">
        <w:rPr>
          <w:rFonts w:ascii="Arial" w:hAnsi="Arial" w:cs="Arial"/>
        </w:rPr>
        <w:t xml:space="preserve"> </w:t>
      </w:r>
    </w:p>
    <w:tbl>
      <w:tblPr>
        <w:tblStyle w:val="-"/>
        <w:tblW w:w="5000" w:type="pct"/>
        <w:tblBorders>
          <w:insideH w:val="single" w:sz="4" w:space="0" w:color="D9D9D9" w:themeColor="background1" w:themeShade="D9"/>
        </w:tblBorders>
        <w:tblLook w:val="04A0" w:firstRow="1" w:lastRow="0" w:firstColumn="1" w:lastColumn="0" w:noHBand="0" w:noVBand="1"/>
      </w:tblPr>
      <w:tblGrid>
        <w:gridCol w:w="3652"/>
        <w:gridCol w:w="3402"/>
        <w:gridCol w:w="2517"/>
      </w:tblGrid>
      <w:tr w:rsidR="00064D0F" w:rsidRPr="00FB6ADA" w:rsidTr="00FB6ADA">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908" w:type="pct"/>
            <w:shd w:val="clear" w:color="auto" w:fill="D9D9D9" w:themeFill="background1" w:themeFillShade="D9"/>
            <w:hideMark/>
          </w:tcPr>
          <w:p w:rsidR="00064D0F" w:rsidRPr="00FB6ADA" w:rsidRDefault="00064D0F" w:rsidP="00FB6ADA">
            <w:pPr>
              <w:rPr>
                <w:rFonts w:ascii="Arial" w:hAnsi="Arial" w:cs="Arial"/>
                <w:b w:val="0"/>
                <w:color w:val="auto"/>
                <w:szCs w:val="24"/>
              </w:rPr>
            </w:pPr>
            <w:r w:rsidRPr="00FB6ADA">
              <w:rPr>
                <w:rFonts w:ascii="Arial" w:hAnsi="Arial" w:cs="Arial"/>
                <w:b w:val="0"/>
                <w:color w:val="auto"/>
                <w:szCs w:val="24"/>
              </w:rPr>
              <w:t>Диапазон цен единого объекта, руб.</w:t>
            </w:r>
          </w:p>
        </w:tc>
        <w:tc>
          <w:tcPr>
            <w:tcW w:w="1777" w:type="pct"/>
            <w:shd w:val="clear" w:color="auto" w:fill="D9D9D9" w:themeFill="background1" w:themeFillShade="D9"/>
          </w:tcPr>
          <w:p w:rsidR="00064D0F" w:rsidRPr="00FB6ADA" w:rsidRDefault="00064D0F" w:rsidP="00FB6ADA">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4"/>
              </w:rPr>
            </w:pPr>
            <w:r w:rsidRPr="00FB6ADA">
              <w:rPr>
                <w:rFonts w:ascii="Arial" w:hAnsi="Arial" w:cs="Arial"/>
                <w:b w:val="0"/>
                <w:color w:val="auto"/>
                <w:szCs w:val="24"/>
              </w:rPr>
              <w:t>Диапазон цен, руб. за 1 кв.м</w:t>
            </w:r>
          </w:p>
        </w:tc>
        <w:tc>
          <w:tcPr>
            <w:tcW w:w="1315" w:type="pct"/>
            <w:shd w:val="clear" w:color="auto" w:fill="D9D9D9" w:themeFill="background1" w:themeFillShade="D9"/>
            <w:hideMark/>
          </w:tcPr>
          <w:p w:rsidR="00064D0F" w:rsidRPr="00FB6ADA" w:rsidRDefault="00064D0F" w:rsidP="00FB6ADA">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4"/>
              </w:rPr>
            </w:pPr>
            <w:r w:rsidRPr="00FB6ADA">
              <w:rPr>
                <w:rFonts w:ascii="Arial" w:hAnsi="Arial" w:cs="Arial"/>
                <w:b w:val="0"/>
                <w:color w:val="auto"/>
                <w:szCs w:val="24"/>
              </w:rPr>
              <w:t>Ср. цена руб. за 1 кв. м.</w:t>
            </w:r>
          </w:p>
        </w:tc>
      </w:tr>
      <w:tr w:rsidR="00064D0F" w:rsidRPr="00FB6ADA" w:rsidTr="00FB6ADA">
        <w:trPr>
          <w:trHeight w:val="20"/>
        </w:trPr>
        <w:tc>
          <w:tcPr>
            <w:cnfStyle w:val="001000000000" w:firstRow="0" w:lastRow="0" w:firstColumn="1" w:lastColumn="0" w:oddVBand="0" w:evenVBand="0" w:oddHBand="0" w:evenHBand="0" w:firstRowFirstColumn="0" w:firstRowLastColumn="0" w:lastRowFirstColumn="0" w:lastRowLastColumn="0"/>
            <w:tcW w:w="1908" w:type="pct"/>
            <w:hideMark/>
          </w:tcPr>
          <w:p w:rsidR="00064D0F" w:rsidRPr="00FB6ADA" w:rsidRDefault="00703797" w:rsidP="00703797">
            <w:pPr>
              <w:rPr>
                <w:rFonts w:ascii="Arial" w:hAnsi="Arial" w:cs="Arial"/>
                <w:b/>
                <w:bCs/>
                <w:color w:val="auto"/>
                <w:szCs w:val="24"/>
              </w:rPr>
            </w:pPr>
            <w:r>
              <w:rPr>
                <w:rFonts w:ascii="Arial" w:hAnsi="Arial" w:cs="Arial"/>
                <w:b/>
                <w:bCs/>
                <w:color w:val="auto"/>
                <w:szCs w:val="24"/>
              </w:rPr>
              <w:t>2</w:t>
            </w:r>
            <w:r w:rsidR="00064D0F" w:rsidRPr="00FB6ADA">
              <w:rPr>
                <w:rFonts w:ascii="Arial" w:hAnsi="Arial" w:cs="Arial"/>
                <w:b/>
                <w:bCs/>
                <w:color w:val="auto"/>
                <w:szCs w:val="24"/>
              </w:rPr>
              <w:t> </w:t>
            </w:r>
            <w:r>
              <w:rPr>
                <w:rFonts w:ascii="Arial" w:hAnsi="Arial" w:cs="Arial"/>
                <w:b/>
                <w:bCs/>
                <w:color w:val="auto"/>
                <w:szCs w:val="24"/>
              </w:rPr>
              <w:t>9</w:t>
            </w:r>
            <w:r w:rsidR="00064D0F" w:rsidRPr="00FB6ADA">
              <w:rPr>
                <w:rFonts w:ascii="Arial" w:hAnsi="Arial" w:cs="Arial"/>
                <w:b/>
                <w:bCs/>
                <w:color w:val="auto"/>
                <w:szCs w:val="24"/>
              </w:rPr>
              <w:t>00 000 - 1</w:t>
            </w:r>
            <w:r>
              <w:rPr>
                <w:rFonts w:ascii="Arial" w:hAnsi="Arial" w:cs="Arial"/>
                <w:b/>
                <w:bCs/>
                <w:color w:val="auto"/>
                <w:szCs w:val="24"/>
              </w:rPr>
              <w:t>3</w:t>
            </w:r>
            <w:r w:rsidR="00064D0F" w:rsidRPr="00FB6ADA">
              <w:rPr>
                <w:rFonts w:ascii="Arial" w:hAnsi="Arial" w:cs="Arial"/>
                <w:b/>
                <w:bCs/>
                <w:color w:val="auto"/>
                <w:szCs w:val="24"/>
              </w:rPr>
              <w:t xml:space="preserve"> 000 000</w:t>
            </w:r>
          </w:p>
        </w:tc>
        <w:tc>
          <w:tcPr>
            <w:tcW w:w="1777" w:type="pct"/>
            <w:shd w:val="clear" w:color="auto" w:fill="D9D9D9" w:themeFill="background1" w:themeFillShade="D9"/>
          </w:tcPr>
          <w:p w:rsidR="00064D0F" w:rsidRPr="00FB6ADA" w:rsidRDefault="00703797" w:rsidP="00703797">
            <w:pP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Cs w:val="24"/>
              </w:rPr>
            </w:pPr>
            <w:r>
              <w:rPr>
                <w:rFonts w:ascii="Arial" w:hAnsi="Arial" w:cs="Arial"/>
                <w:b/>
                <w:bCs/>
                <w:color w:val="auto"/>
                <w:szCs w:val="24"/>
              </w:rPr>
              <w:t>32</w:t>
            </w:r>
            <w:r w:rsidR="00064D0F" w:rsidRPr="00FB6ADA">
              <w:rPr>
                <w:rFonts w:ascii="Arial" w:hAnsi="Arial" w:cs="Arial"/>
                <w:b/>
                <w:bCs/>
                <w:color w:val="auto"/>
                <w:szCs w:val="24"/>
              </w:rPr>
              <w:t xml:space="preserve"> </w:t>
            </w:r>
            <w:r>
              <w:rPr>
                <w:rFonts w:ascii="Arial" w:hAnsi="Arial" w:cs="Arial"/>
                <w:b/>
                <w:bCs/>
                <w:color w:val="auto"/>
                <w:szCs w:val="24"/>
              </w:rPr>
              <w:t>500</w:t>
            </w:r>
            <w:r w:rsidR="00064D0F" w:rsidRPr="00FB6ADA">
              <w:rPr>
                <w:rFonts w:ascii="Arial" w:hAnsi="Arial" w:cs="Arial"/>
                <w:b/>
                <w:bCs/>
                <w:color w:val="auto"/>
                <w:szCs w:val="24"/>
              </w:rPr>
              <w:t xml:space="preserve"> - </w:t>
            </w:r>
            <w:r>
              <w:rPr>
                <w:rFonts w:ascii="Arial" w:hAnsi="Arial" w:cs="Arial"/>
                <w:b/>
                <w:bCs/>
                <w:color w:val="auto"/>
                <w:szCs w:val="24"/>
              </w:rPr>
              <w:t>61</w:t>
            </w:r>
            <w:r w:rsidR="00064D0F" w:rsidRPr="00FB6ADA">
              <w:rPr>
                <w:rFonts w:ascii="Arial" w:hAnsi="Arial" w:cs="Arial"/>
                <w:b/>
                <w:bCs/>
                <w:color w:val="auto"/>
                <w:szCs w:val="24"/>
              </w:rPr>
              <w:t xml:space="preserve"> </w:t>
            </w:r>
            <w:r>
              <w:rPr>
                <w:rFonts w:ascii="Arial" w:hAnsi="Arial" w:cs="Arial"/>
                <w:b/>
                <w:bCs/>
                <w:color w:val="auto"/>
                <w:szCs w:val="24"/>
              </w:rPr>
              <w:t>111</w:t>
            </w:r>
          </w:p>
        </w:tc>
        <w:tc>
          <w:tcPr>
            <w:tcW w:w="1315" w:type="pct"/>
            <w:shd w:val="clear" w:color="auto" w:fill="D9D9D9" w:themeFill="background1" w:themeFillShade="D9"/>
            <w:hideMark/>
          </w:tcPr>
          <w:p w:rsidR="00064D0F" w:rsidRPr="00FB6ADA" w:rsidRDefault="00703797" w:rsidP="00703797">
            <w:pP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Cs w:val="24"/>
              </w:rPr>
            </w:pPr>
            <w:r>
              <w:rPr>
                <w:rFonts w:ascii="Arial" w:hAnsi="Arial" w:cs="Arial"/>
                <w:b/>
                <w:bCs/>
                <w:color w:val="auto"/>
                <w:szCs w:val="24"/>
              </w:rPr>
              <w:t>30 000 – 35 000</w:t>
            </w:r>
          </w:p>
        </w:tc>
      </w:tr>
    </w:tbl>
    <w:p w:rsidR="00064D0F" w:rsidRPr="00FB6ADA" w:rsidRDefault="00064D0F" w:rsidP="00064D0F">
      <w:pPr>
        <w:outlineLvl w:val="1"/>
        <w:rPr>
          <w:rFonts w:ascii="Arial" w:hAnsi="Arial" w:cs="Arial"/>
          <w:b/>
        </w:rPr>
      </w:pPr>
    </w:p>
    <w:p w:rsidR="00064D0F" w:rsidRPr="00FB6ADA" w:rsidRDefault="00064D0F" w:rsidP="00064D0F">
      <w:pPr>
        <w:ind w:firstLine="709"/>
        <w:jc w:val="both"/>
        <w:outlineLvl w:val="1"/>
        <w:rPr>
          <w:rFonts w:ascii="Arial" w:hAnsi="Arial" w:cs="Arial"/>
          <w:b/>
        </w:rPr>
      </w:pPr>
      <w:r w:rsidRPr="00FB6ADA">
        <w:rPr>
          <w:rFonts w:ascii="Arial" w:hAnsi="Arial" w:cs="Arial"/>
          <w:b/>
        </w:rPr>
        <w:t>Недвижимое имущество свободного назначения</w:t>
      </w:r>
    </w:p>
    <w:p w:rsidR="00064D0F" w:rsidRPr="00FB6ADA" w:rsidRDefault="00064D0F" w:rsidP="00064D0F">
      <w:pPr>
        <w:ind w:firstLine="709"/>
        <w:jc w:val="both"/>
        <w:outlineLvl w:val="1"/>
        <w:rPr>
          <w:rFonts w:ascii="Arial" w:hAnsi="Arial" w:cs="Arial"/>
          <w:b/>
        </w:rPr>
      </w:pPr>
      <w:r w:rsidRPr="00FB6ADA">
        <w:rPr>
          <w:rFonts w:ascii="Arial" w:hAnsi="Arial" w:cs="Arial"/>
          <w:spacing w:val="-6"/>
        </w:rPr>
        <w:t>Результат проведенного анализа представлен в следующей таблице.</w:t>
      </w:r>
    </w:p>
    <w:tbl>
      <w:tblPr>
        <w:tblStyle w:val="-"/>
        <w:tblW w:w="5000" w:type="pct"/>
        <w:tblBorders>
          <w:insideH w:val="single" w:sz="4" w:space="0" w:color="D9D9D9" w:themeColor="background1" w:themeShade="D9"/>
        </w:tblBorders>
        <w:tblLook w:val="04A0" w:firstRow="1" w:lastRow="0" w:firstColumn="1" w:lastColumn="0" w:noHBand="0" w:noVBand="1"/>
      </w:tblPr>
      <w:tblGrid>
        <w:gridCol w:w="3652"/>
        <w:gridCol w:w="3402"/>
        <w:gridCol w:w="2517"/>
      </w:tblGrid>
      <w:tr w:rsidR="00064D0F" w:rsidRPr="00FB6ADA" w:rsidTr="00FB6ADA">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908" w:type="pct"/>
            <w:shd w:val="clear" w:color="auto" w:fill="D9D9D9" w:themeFill="background1" w:themeFillShade="D9"/>
            <w:hideMark/>
          </w:tcPr>
          <w:p w:rsidR="00064D0F" w:rsidRPr="00FB6ADA" w:rsidRDefault="00064D0F" w:rsidP="00FB6ADA">
            <w:pPr>
              <w:rPr>
                <w:rFonts w:ascii="Arial" w:hAnsi="Arial" w:cs="Arial"/>
                <w:b w:val="0"/>
                <w:color w:val="auto"/>
                <w:szCs w:val="24"/>
              </w:rPr>
            </w:pPr>
            <w:r w:rsidRPr="00FB6ADA">
              <w:rPr>
                <w:rFonts w:ascii="Arial" w:hAnsi="Arial" w:cs="Arial"/>
                <w:b w:val="0"/>
                <w:color w:val="auto"/>
                <w:szCs w:val="24"/>
              </w:rPr>
              <w:t>Диапазон цен единого объекта, руб.</w:t>
            </w:r>
          </w:p>
        </w:tc>
        <w:tc>
          <w:tcPr>
            <w:tcW w:w="1777" w:type="pct"/>
            <w:shd w:val="clear" w:color="auto" w:fill="D9D9D9" w:themeFill="background1" w:themeFillShade="D9"/>
          </w:tcPr>
          <w:p w:rsidR="00064D0F" w:rsidRPr="00FB6ADA" w:rsidRDefault="00064D0F" w:rsidP="00FB6ADA">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4"/>
              </w:rPr>
            </w:pPr>
            <w:r w:rsidRPr="00FB6ADA">
              <w:rPr>
                <w:rFonts w:ascii="Arial" w:hAnsi="Arial" w:cs="Arial"/>
                <w:b w:val="0"/>
                <w:color w:val="auto"/>
                <w:szCs w:val="24"/>
              </w:rPr>
              <w:t>Диапазон цен, руб. за 1 кв.м</w:t>
            </w:r>
          </w:p>
        </w:tc>
        <w:tc>
          <w:tcPr>
            <w:tcW w:w="1315" w:type="pct"/>
            <w:shd w:val="clear" w:color="auto" w:fill="D9D9D9" w:themeFill="background1" w:themeFillShade="D9"/>
            <w:hideMark/>
          </w:tcPr>
          <w:p w:rsidR="00064D0F" w:rsidRPr="00FB6ADA" w:rsidRDefault="00064D0F" w:rsidP="00FB6ADA">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4"/>
              </w:rPr>
            </w:pPr>
            <w:r w:rsidRPr="00FB6ADA">
              <w:rPr>
                <w:rFonts w:ascii="Arial" w:hAnsi="Arial" w:cs="Arial"/>
                <w:b w:val="0"/>
                <w:color w:val="auto"/>
                <w:szCs w:val="24"/>
              </w:rPr>
              <w:t>Ср. цена руб. за 1 кв. м.</w:t>
            </w:r>
          </w:p>
        </w:tc>
      </w:tr>
      <w:tr w:rsidR="00064D0F" w:rsidRPr="00FB6ADA" w:rsidTr="00FB6ADA">
        <w:trPr>
          <w:trHeight w:val="20"/>
        </w:trPr>
        <w:tc>
          <w:tcPr>
            <w:cnfStyle w:val="001000000000" w:firstRow="0" w:lastRow="0" w:firstColumn="1" w:lastColumn="0" w:oddVBand="0" w:evenVBand="0" w:oddHBand="0" w:evenHBand="0" w:firstRowFirstColumn="0" w:firstRowLastColumn="0" w:lastRowFirstColumn="0" w:lastRowLastColumn="0"/>
            <w:tcW w:w="1908" w:type="pct"/>
            <w:hideMark/>
          </w:tcPr>
          <w:p w:rsidR="00064D0F" w:rsidRPr="00FB6ADA" w:rsidRDefault="00703797" w:rsidP="00703797">
            <w:pPr>
              <w:rPr>
                <w:rFonts w:ascii="Arial" w:hAnsi="Arial" w:cs="Arial"/>
                <w:b/>
                <w:bCs/>
                <w:color w:val="auto"/>
                <w:szCs w:val="24"/>
              </w:rPr>
            </w:pPr>
            <w:r>
              <w:rPr>
                <w:rFonts w:ascii="Arial" w:hAnsi="Arial" w:cs="Arial"/>
                <w:b/>
                <w:bCs/>
                <w:color w:val="auto"/>
                <w:szCs w:val="24"/>
              </w:rPr>
              <w:t>400</w:t>
            </w:r>
            <w:r w:rsidR="00064D0F" w:rsidRPr="00FB6ADA">
              <w:rPr>
                <w:rFonts w:ascii="Arial" w:hAnsi="Arial" w:cs="Arial"/>
                <w:b/>
                <w:bCs/>
                <w:color w:val="auto"/>
                <w:szCs w:val="24"/>
              </w:rPr>
              <w:t xml:space="preserve"> 000 - </w:t>
            </w:r>
            <w:r>
              <w:rPr>
                <w:rFonts w:ascii="Arial" w:hAnsi="Arial" w:cs="Arial"/>
                <w:b/>
                <w:bCs/>
                <w:color w:val="auto"/>
                <w:szCs w:val="24"/>
              </w:rPr>
              <w:t>9</w:t>
            </w:r>
            <w:r w:rsidR="00064D0F" w:rsidRPr="00FB6ADA">
              <w:rPr>
                <w:rFonts w:ascii="Arial" w:hAnsi="Arial" w:cs="Arial"/>
                <w:b/>
                <w:bCs/>
                <w:color w:val="auto"/>
                <w:szCs w:val="24"/>
              </w:rPr>
              <w:t xml:space="preserve"> </w:t>
            </w:r>
            <w:r>
              <w:rPr>
                <w:rFonts w:ascii="Arial" w:hAnsi="Arial" w:cs="Arial"/>
                <w:b/>
                <w:bCs/>
                <w:color w:val="auto"/>
                <w:szCs w:val="24"/>
              </w:rPr>
              <w:t>000</w:t>
            </w:r>
            <w:r w:rsidR="00064D0F" w:rsidRPr="00FB6ADA">
              <w:rPr>
                <w:rFonts w:ascii="Arial" w:hAnsi="Arial" w:cs="Arial"/>
                <w:b/>
                <w:bCs/>
                <w:color w:val="auto"/>
                <w:szCs w:val="24"/>
              </w:rPr>
              <w:t xml:space="preserve"> </w:t>
            </w:r>
            <w:r>
              <w:rPr>
                <w:rFonts w:ascii="Arial" w:hAnsi="Arial" w:cs="Arial"/>
                <w:b/>
                <w:bCs/>
                <w:color w:val="auto"/>
                <w:szCs w:val="24"/>
              </w:rPr>
              <w:t>000</w:t>
            </w:r>
          </w:p>
        </w:tc>
        <w:tc>
          <w:tcPr>
            <w:tcW w:w="1777" w:type="pct"/>
            <w:shd w:val="clear" w:color="auto" w:fill="D9D9D9" w:themeFill="background1" w:themeFillShade="D9"/>
          </w:tcPr>
          <w:p w:rsidR="00064D0F" w:rsidRPr="00FB6ADA" w:rsidRDefault="00703797" w:rsidP="00703797">
            <w:pP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Cs w:val="24"/>
              </w:rPr>
            </w:pPr>
            <w:r>
              <w:rPr>
                <w:rFonts w:ascii="Arial" w:hAnsi="Arial" w:cs="Arial"/>
                <w:b/>
                <w:bCs/>
                <w:color w:val="auto"/>
                <w:szCs w:val="24"/>
              </w:rPr>
              <w:t>1 667</w:t>
            </w:r>
            <w:r w:rsidR="00064D0F" w:rsidRPr="00FB6ADA">
              <w:rPr>
                <w:rFonts w:ascii="Arial" w:hAnsi="Arial" w:cs="Arial"/>
                <w:b/>
                <w:bCs/>
                <w:color w:val="auto"/>
                <w:szCs w:val="24"/>
              </w:rPr>
              <w:t xml:space="preserve"> - </w:t>
            </w:r>
            <w:r>
              <w:rPr>
                <w:rFonts w:ascii="Arial" w:hAnsi="Arial" w:cs="Arial"/>
                <w:b/>
                <w:bCs/>
                <w:color w:val="auto"/>
                <w:szCs w:val="24"/>
              </w:rPr>
              <w:t>65</w:t>
            </w:r>
            <w:r w:rsidR="00064D0F" w:rsidRPr="00FB6ADA">
              <w:rPr>
                <w:rFonts w:ascii="Arial" w:hAnsi="Arial" w:cs="Arial"/>
                <w:b/>
                <w:bCs/>
                <w:color w:val="auto"/>
                <w:szCs w:val="24"/>
              </w:rPr>
              <w:t xml:space="preserve"> 000</w:t>
            </w:r>
          </w:p>
        </w:tc>
        <w:tc>
          <w:tcPr>
            <w:tcW w:w="1315" w:type="pct"/>
            <w:shd w:val="clear" w:color="auto" w:fill="D9D9D9" w:themeFill="background1" w:themeFillShade="D9"/>
            <w:hideMark/>
          </w:tcPr>
          <w:p w:rsidR="00064D0F" w:rsidRPr="00FB6ADA" w:rsidRDefault="00064D0F" w:rsidP="00703797">
            <w:pP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Cs w:val="24"/>
              </w:rPr>
            </w:pPr>
            <w:r w:rsidRPr="00FB6ADA">
              <w:rPr>
                <w:rFonts w:ascii="Arial" w:hAnsi="Arial" w:cs="Arial"/>
                <w:b/>
                <w:bCs/>
                <w:color w:val="auto"/>
                <w:szCs w:val="24"/>
              </w:rPr>
              <w:t>1</w:t>
            </w:r>
            <w:r w:rsidR="00703797">
              <w:rPr>
                <w:rFonts w:ascii="Arial" w:hAnsi="Arial" w:cs="Arial"/>
                <w:b/>
                <w:bCs/>
                <w:color w:val="auto"/>
                <w:szCs w:val="24"/>
              </w:rPr>
              <w:t>0 000 – 15 000</w:t>
            </w:r>
          </w:p>
        </w:tc>
      </w:tr>
    </w:tbl>
    <w:p w:rsidR="00064D0F" w:rsidRPr="00FB6ADA" w:rsidRDefault="00064D0F" w:rsidP="00EE29B5">
      <w:pPr>
        <w:outlineLvl w:val="1"/>
        <w:rPr>
          <w:rFonts w:ascii="Arial" w:hAnsi="Arial" w:cs="Arial"/>
          <w:b/>
        </w:rPr>
      </w:pPr>
    </w:p>
    <w:p w:rsidR="002D1E4F" w:rsidRPr="00FB6ADA" w:rsidRDefault="002D1E4F" w:rsidP="002D1E4F">
      <w:pPr>
        <w:jc w:val="center"/>
        <w:outlineLvl w:val="1"/>
        <w:rPr>
          <w:rFonts w:ascii="Arial" w:hAnsi="Arial" w:cs="Arial"/>
          <w:b/>
        </w:rPr>
      </w:pPr>
      <w:r w:rsidRPr="00FB6ADA">
        <w:rPr>
          <w:rFonts w:ascii="Arial" w:hAnsi="Arial" w:cs="Arial"/>
          <w:b/>
        </w:rPr>
        <w:t>Основные выводы относительно рынка коммерческой недвижимости</w:t>
      </w:r>
    </w:p>
    <w:p w:rsidR="002D1E4F" w:rsidRPr="00FB6ADA" w:rsidRDefault="002D1E4F" w:rsidP="002D1E4F">
      <w:pPr>
        <w:ind w:firstLine="709"/>
        <w:jc w:val="both"/>
        <w:rPr>
          <w:rFonts w:ascii="Arial" w:hAnsi="Arial" w:cs="Arial"/>
        </w:rPr>
      </w:pPr>
      <w:r w:rsidRPr="00FB6ADA">
        <w:rPr>
          <w:rFonts w:ascii="Arial" w:hAnsi="Arial" w:cs="Arial"/>
        </w:rPr>
        <w:t>Проведенный анализ рынка показал следующее:</w:t>
      </w:r>
    </w:p>
    <w:p w:rsidR="002D1E4F" w:rsidRPr="00FB6ADA" w:rsidRDefault="008558F9" w:rsidP="002D1E4F">
      <w:pPr>
        <w:ind w:firstLine="709"/>
        <w:jc w:val="both"/>
        <w:rPr>
          <w:rFonts w:ascii="Arial" w:hAnsi="Arial" w:cs="Arial"/>
        </w:rPr>
      </w:pPr>
      <w:r w:rsidRPr="00FB6ADA">
        <w:rPr>
          <w:rFonts w:ascii="Arial" w:hAnsi="Arial" w:cs="Arial"/>
        </w:rPr>
        <w:lastRenderedPageBreak/>
        <w:t xml:space="preserve">Торгово-офисная недвижимость выставляется на рынок (без учета скидки на торг) в диапазоне от </w:t>
      </w:r>
      <w:r w:rsidR="0087638A">
        <w:rPr>
          <w:rFonts w:ascii="Arial" w:hAnsi="Arial" w:cs="Arial"/>
        </w:rPr>
        <w:t>2</w:t>
      </w:r>
      <w:r w:rsidRPr="00FB6ADA">
        <w:rPr>
          <w:rFonts w:ascii="Arial" w:hAnsi="Arial" w:cs="Arial"/>
        </w:rPr>
        <w:t xml:space="preserve"> </w:t>
      </w:r>
      <w:r w:rsidR="00B33D45" w:rsidRPr="00FB6ADA">
        <w:rPr>
          <w:rFonts w:ascii="Arial" w:hAnsi="Arial" w:cs="Arial"/>
        </w:rPr>
        <w:t>5</w:t>
      </w:r>
      <w:r w:rsidR="0087638A">
        <w:rPr>
          <w:rFonts w:ascii="Arial" w:hAnsi="Arial" w:cs="Arial"/>
        </w:rPr>
        <w:t>00</w:t>
      </w:r>
      <w:r w:rsidRPr="00FB6ADA">
        <w:rPr>
          <w:rFonts w:ascii="Arial" w:hAnsi="Arial" w:cs="Arial"/>
        </w:rPr>
        <w:t xml:space="preserve"> руб./кв.м. – </w:t>
      </w:r>
      <w:r w:rsidR="00B33D45" w:rsidRPr="00FB6ADA">
        <w:rPr>
          <w:rFonts w:ascii="Arial" w:hAnsi="Arial" w:cs="Arial"/>
        </w:rPr>
        <w:t>75</w:t>
      </w:r>
      <w:r w:rsidRPr="00FB6ADA">
        <w:rPr>
          <w:rFonts w:ascii="Arial" w:hAnsi="Arial" w:cs="Arial"/>
        </w:rPr>
        <w:t xml:space="preserve"> 000 руб. /кв.м. в зависимости от различных ценообразующих факторов, в среднем же по состоянию на </w:t>
      </w:r>
      <w:r w:rsidR="00B86EA2" w:rsidRPr="00FB6ADA">
        <w:rPr>
          <w:rFonts w:ascii="Arial" w:hAnsi="Arial" w:cs="Arial"/>
        </w:rPr>
        <w:t>август</w:t>
      </w:r>
      <w:r w:rsidRPr="00FB6ADA">
        <w:rPr>
          <w:rFonts w:ascii="Arial" w:hAnsi="Arial" w:cs="Arial"/>
        </w:rPr>
        <w:t xml:space="preserve"> 2018 г. цена предложения продажи торгово-офисной недвижимости составляет </w:t>
      </w:r>
      <w:r w:rsidR="00B33D45" w:rsidRPr="00FB6ADA">
        <w:rPr>
          <w:rFonts w:ascii="Arial" w:hAnsi="Arial" w:cs="Arial"/>
        </w:rPr>
        <w:t>2</w:t>
      </w:r>
      <w:r w:rsidR="0087638A">
        <w:rPr>
          <w:rFonts w:ascii="Arial" w:hAnsi="Arial" w:cs="Arial"/>
        </w:rPr>
        <w:t>0 000 – 25 000</w:t>
      </w:r>
      <w:r w:rsidR="00B33D45" w:rsidRPr="00FB6ADA">
        <w:rPr>
          <w:rFonts w:ascii="Arial" w:hAnsi="Arial" w:cs="Arial"/>
        </w:rPr>
        <w:t xml:space="preserve"> </w:t>
      </w:r>
      <w:r w:rsidRPr="00FB6ADA">
        <w:rPr>
          <w:rFonts w:ascii="Arial" w:hAnsi="Arial" w:cs="Arial"/>
        </w:rPr>
        <w:t>руб./кв.м.</w:t>
      </w:r>
    </w:p>
    <w:p w:rsidR="002D1E4F" w:rsidRPr="00FB6ADA" w:rsidRDefault="008558F9" w:rsidP="002D1E4F">
      <w:pPr>
        <w:ind w:firstLine="709"/>
        <w:jc w:val="both"/>
        <w:rPr>
          <w:rFonts w:ascii="Arial" w:hAnsi="Arial" w:cs="Arial"/>
        </w:rPr>
      </w:pPr>
      <w:r w:rsidRPr="00FB6ADA">
        <w:rPr>
          <w:rFonts w:ascii="Arial" w:hAnsi="Arial" w:cs="Arial"/>
        </w:rPr>
        <w:t xml:space="preserve">Производственно-складская недвижимость выставляется на рынок (без учета скидки на торг) в диапазоне от </w:t>
      </w:r>
      <w:r w:rsidR="0087638A">
        <w:rPr>
          <w:rFonts w:ascii="Arial" w:hAnsi="Arial" w:cs="Arial"/>
        </w:rPr>
        <w:t xml:space="preserve">1 </w:t>
      </w:r>
      <w:r w:rsidRPr="00FB6ADA">
        <w:rPr>
          <w:rFonts w:ascii="Arial" w:hAnsi="Arial" w:cs="Arial"/>
        </w:rPr>
        <w:t>2</w:t>
      </w:r>
      <w:r w:rsidR="0087638A">
        <w:rPr>
          <w:rFonts w:ascii="Arial" w:hAnsi="Arial" w:cs="Arial"/>
        </w:rPr>
        <w:t>54</w:t>
      </w:r>
      <w:r w:rsidRPr="00FB6ADA">
        <w:rPr>
          <w:rFonts w:ascii="Arial" w:hAnsi="Arial" w:cs="Arial"/>
        </w:rPr>
        <w:t xml:space="preserve"> руб./кв.м. – </w:t>
      </w:r>
      <w:r w:rsidR="00B33D45" w:rsidRPr="00FB6ADA">
        <w:rPr>
          <w:rFonts w:ascii="Arial" w:hAnsi="Arial" w:cs="Arial"/>
        </w:rPr>
        <w:t>1</w:t>
      </w:r>
      <w:r w:rsidR="0087638A">
        <w:rPr>
          <w:rFonts w:ascii="Arial" w:hAnsi="Arial" w:cs="Arial"/>
        </w:rPr>
        <w:t>00</w:t>
      </w:r>
      <w:r w:rsidRPr="00FB6ADA">
        <w:rPr>
          <w:rFonts w:ascii="Arial" w:hAnsi="Arial" w:cs="Arial"/>
        </w:rPr>
        <w:t xml:space="preserve"> </w:t>
      </w:r>
      <w:r w:rsidR="00B33D45" w:rsidRPr="00FB6ADA">
        <w:rPr>
          <w:rFonts w:ascii="Arial" w:hAnsi="Arial" w:cs="Arial"/>
        </w:rPr>
        <w:t>0</w:t>
      </w:r>
      <w:r w:rsidRPr="00FB6ADA">
        <w:rPr>
          <w:rFonts w:ascii="Arial" w:hAnsi="Arial" w:cs="Arial"/>
        </w:rPr>
        <w:t xml:space="preserve">00 руб. /кв.м. в зависимости от различных ценообразующих факторов, в среднем же по состоянию на </w:t>
      </w:r>
      <w:r w:rsidR="00B86EA2" w:rsidRPr="00FB6ADA">
        <w:rPr>
          <w:rFonts w:ascii="Arial" w:hAnsi="Arial" w:cs="Arial"/>
        </w:rPr>
        <w:t>август</w:t>
      </w:r>
      <w:r w:rsidRPr="00FB6ADA">
        <w:rPr>
          <w:rFonts w:ascii="Arial" w:hAnsi="Arial" w:cs="Arial"/>
        </w:rPr>
        <w:t xml:space="preserve"> 2018 г. цена предложения продажи производственно-складской недвижимости составляет </w:t>
      </w:r>
      <w:r w:rsidR="0087638A">
        <w:rPr>
          <w:rFonts w:ascii="Arial" w:hAnsi="Arial" w:cs="Arial"/>
        </w:rPr>
        <w:t>7 000 – 12 000</w:t>
      </w:r>
      <w:r w:rsidRPr="00FB6ADA">
        <w:rPr>
          <w:rFonts w:ascii="Arial" w:hAnsi="Arial" w:cs="Arial"/>
        </w:rPr>
        <w:t xml:space="preserve"> руб./кв.м.</w:t>
      </w:r>
    </w:p>
    <w:p w:rsidR="0087638A" w:rsidRDefault="0087638A" w:rsidP="0087638A">
      <w:pPr>
        <w:ind w:firstLine="709"/>
        <w:jc w:val="both"/>
        <w:rPr>
          <w:rFonts w:ascii="Arial" w:hAnsi="Arial" w:cs="Arial"/>
        </w:rPr>
      </w:pPr>
      <w:r>
        <w:rPr>
          <w:rFonts w:ascii="Arial" w:hAnsi="Arial" w:cs="Arial"/>
        </w:rPr>
        <w:t>Объекты общественного питания</w:t>
      </w:r>
      <w:r w:rsidRPr="00FB6ADA">
        <w:rPr>
          <w:rFonts w:ascii="Arial" w:hAnsi="Arial" w:cs="Arial"/>
        </w:rPr>
        <w:t xml:space="preserve"> выставля</w:t>
      </w:r>
      <w:r>
        <w:rPr>
          <w:rFonts w:ascii="Arial" w:hAnsi="Arial" w:cs="Arial"/>
        </w:rPr>
        <w:t>ю</w:t>
      </w:r>
      <w:r w:rsidRPr="00FB6ADA">
        <w:rPr>
          <w:rFonts w:ascii="Arial" w:hAnsi="Arial" w:cs="Arial"/>
        </w:rPr>
        <w:t xml:space="preserve">тся на рынок (без учета скидки на торг) в диапазоне от </w:t>
      </w:r>
      <w:r>
        <w:rPr>
          <w:rFonts w:ascii="Arial" w:hAnsi="Arial" w:cs="Arial"/>
        </w:rPr>
        <w:t>32 500</w:t>
      </w:r>
      <w:r w:rsidRPr="00FB6ADA">
        <w:rPr>
          <w:rFonts w:ascii="Arial" w:hAnsi="Arial" w:cs="Arial"/>
        </w:rPr>
        <w:t xml:space="preserve"> руб./кв.м. – </w:t>
      </w:r>
      <w:r>
        <w:rPr>
          <w:rFonts w:ascii="Arial" w:hAnsi="Arial" w:cs="Arial"/>
        </w:rPr>
        <w:t>61 111</w:t>
      </w:r>
      <w:r w:rsidRPr="00FB6ADA">
        <w:rPr>
          <w:rFonts w:ascii="Arial" w:hAnsi="Arial" w:cs="Arial"/>
        </w:rPr>
        <w:t xml:space="preserve"> руб. /кв.м. в зависимости от различных ценообразующих факторов, в среднем же по состоянию на август 2018 г. цена предложения продажи производственно-складской недвижимости составляет </w:t>
      </w:r>
      <w:r>
        <w:rPr>
          <w:rFonts w:ascii="Arial" w:hAnsi="Arial" w:cs="Arial"/>
        </w:rPr>
        <w:t>30 000 – 35 000</w:t>
      </w:r>
      <w:r w:rsidRPr="00FB6ADA">
        <w:rPr>
          <w:rFonts w:ascii="Arial" w:hAnsi="Arial" w:cs="Arial"/>
        </w:rPr>
        <w:t xml:space="preserve"> руб./кв.м.</w:t>
      </w:r>
      <w:r>
        <w:rPr>
          <w:rFonts w:ascii="Arial" w:hAnsi="Arial" w:cs="Arial"/>
        </w:rPr>
        <w:t xml:space="preserve"> Высокая стоимость 1 кв.м. объектов общественного питания обусловлена в основном тем, что в стоимость целого объекта входит стоимость встроенного специального оборудования и объекты расположены в основном на так называемой «красной линии».</w:t>
      </w:r>
    </w:p>
    <w:p w:rsidR="0087638A" w:rsidRPr="00FB6ADA" w:rsidRDefault="0087638A" w:rsidP="0087638A">
      <w:pPr>
        <w:ind w:firstLine="709"/>
        <w:jc w:val="both"/>
        <w:rPr>
          <w:rFonts w:ascii="Arial" w:hAnsi="Arial" w:cs="Arial"/>
        </w:rPr>
      </w:pPr>
      <w:r>
        <w:rPr>
          <w:rFonts w:ascii="Arial" w:hAnsi="Arial" w:cs="Arial"/>
        </w:rPr>
        <w:t>Н</w:t>
      </w:r>
      <w:r w:rsidRPr="00FB6ADA">
        <w:rPr>
          <w:rFonts w:ascii="Arial" w:hAnsi="Arial" w:cs="Arial"/>
        </w:rPr>
        <w:t xml:space="preserve">едвижимость </w:t>
      </w:r>
      <w:r>
        <w:rPr>
          <w:rFonts w:ascii="Arial" w:hAnsi="Arial" w:cs="Arial"/>
        </w:rPr>
        <w:t xml:space="preserve">свободного назначения </w:t>
      </w:r>
      <w:r w:rsidRPr="00FB6ADA">
        <w:rPr>
          <w:rFonts w:ascii="Arial" w:hAnsi="Arial" w:cs="Arial"/>
        </w:rPr>
        <w:t xml:space="preserve">выставляется на рынок (без учета скидки на торг) в диапазоне от </w:t>
      </w:r>
      <w:r>
        <w:rPr>
          <w:rFonts w:ascii="Arial" w:hAnsi="Arial" w:cs="Arial"/>
        </w:rPr>
        <w:t>1 667</w:t>
      </w:r>
      <w:r w:rsidRPr="00FB6ADA">
        <w:rPr>
          <w:rFonts w:ascii="Arial" w:hAnsi="Arial" w:cs="Arial"/>
        </w:rPr>
        <w:t xml:space="preserve"> руб./кв.м. – </w:t>
      </w:r>
      <w:r>
        <w:rPr>
          <w:rFonts w:ascii="Arial" w:hAnsi="Arial" w:cs="Arial"/>
        </w:rPr>
        <w:t>65</w:t>
      </w:r>
      <w:r w:rsidRPr="00FB6ADA">
        <w:rPr>
          <w:rFonts w:ascii="Arial" w:hAnsi="Arial" w:cs="Arial"/>
        </w:rPr>
        <w:t xml:space="preserve"> 000 руб. /кв.м. в зависимости от различных ценообразующих факторов, в среднем же по состоянию на август 2018 г. цена предложения продажи производственно-складской недвижимости составляет </w:t>
      </w:r>
      <w:r>
        <w:rPr>
          <w:rFonts w:ascii="Arial" w:hAnsi="Arial" w:cs="Arial"/>
        </w:rPr>
        <w:t>10 000 – 15 000</w:t>
      </w:r>
      <w:r w:rsidRPr="00FB6ADA">
        <w:rPr>
          <w:rFonts w:ascii="Arial" w:hAnsi="Arial" w:cs="Arial"/>
        </w:rPr>
        <w:t xml:space="preserve"> руб./кв.м.</w:t>
      </w:r>
    </w:p>
    <w:p w:rsidR="00B33D45" w:rsidRPr="00FB6ADA" w:rsidRDefault="00B33D45" w:rsidP="00B33D45">
      <w:pPr>
        <w:ind w:firstLine="709"/>
        <w:jc w:val="both"/>
        <w:rPr>
          <w:rFonts w:ascii="Arial" w:hAnsi="Arial" w:cs="Arial"/>
        </w:rPr>
      </w:pPr>
      <w:r w:rsidRPr="00FB6ADA">
        <w:rPr>
          <w:rFonts w:ascii="Arial" w:hAnsi="Arial" w:cs="Arial"/>
        </w:rPr>
        <w:t xml:space="preserve">Динамика рынка </w:t>
      </w:r>
      <w:r w:rsidR="0087638A">
        <w:rPr>
          <w:rFonts w:ascii="Arial" w:hAnsi="Arial" w:cs="Arial"/>
        </w:rPr>
        <w:t xml:space="preserve">коммерческой </w:t>
      </w:r>
      <w:r w:rsidRPr="00FB6ADA">
        <w:rPr>
          <w:rFonts w:ascii="Arial" w:hAnsi="Arial" w:cs="Arial"/>
        </w:rPr>
        <w:t xml:space="preserve">недвижимости: наблюдается стагнация на рынке </w:t>
      </w:r>
      <w:r w:rsidR="0087638A">
        <w:rPr>
          <w:rFonts w:ascii="Arial" w:hAnsi="Arial" w:cs="Arial"/>
        </w:rPr>
        <w:t>коммерческой недвижимости</w:t>
      </w:r>
      <w:r w:rsidRPr="00FB6ADA">
        <w:rPr>
          <w:rFonts w:ascii="Arial" w:hAnsi="Arial" w:cs="Arial"/>
        </w:rPr>
        <w:t xml:space="preserve">. Основными факторами данных процессов являются скептические ожидания рынка на фоне снижения платежеспособного спроса. </w:t>
      </w:r>
    </w:p>
    <w:p w:rsidR="00B33D45" w:rsidRPr="00FB6ADA" w:rsidRDefault="00B33D45" w:rsidP="00B33D45">
      <w:pPr>
        <w:ind w:firstLine="709"/>
        <w:jc w:val="both"/>
        <w:rPr>
          <w:rFonts w:ascii="Arial" w:hAnsi="Arial" w:cs="Arial"/>
        </w:rPr>
      </w:pPr>
      <w:r w:rsidRPr="00FB6ADA">
        <w:rPr>
          <w:rFonts w:ascii="Arial" w:hAnsi="Arial" w:cs="Arial"/>
        </w:rPr>
        <w:t xml:space="preserve">Спрос, предложение: наблюдается перевес предложения над спросом, что обусловлено сложной экономической ситуацией в стране, большой </w:t>
      </w:r>
      <w:proofErr w:type="spellStart"/>
      <w:r w:rsidRPr="00FB6ADA">
        <w:rPr>
          <w:rFonts w:ascii="Arial" w:hAnsi="Arial" w:cs="Arial"/>
        </w:rPr>
        <w:t>закредитованностью</w:t>
      </w:r>
      <w:proofErr w:type="spellEnd"/>
      <w:r w:rsidRPr="00FB6ADA">
        <w:rPr>
          <w:rFonts w:ascii="Arial" w:hAnsi="Arial" w:cs="Arial"/>
        </w:rPr>
        <w:t xml:space="preserve"> населения.</w:t>
      </w:r>
    </w:p>
    <w:p w:rsidR="00D06CB8" w:rsidRPr="00FB6ADA" w:rsidRDefault="002D1E4F" w:rsidP="00661195">
      <w:pPr>
        <w:ind w:firstLine="709"/>
        <w:jc w:val="both"/>
        <w:rPr>
          <w:rFonts w:ascii="Arial" w:hAnsi="Arial" w:cs="Arial"/>
        </w:rPr>
      </w:pPr>
      <w:r w:rsidRPr="00FB6ADA">
        <w:rPr>
          <w:rFonts w:ascii="Arial" w:hAnsi="Arial" w:cs="Arial"/>
        </w:rPr>
        <w:t>Объем продаж: по информации профессиональных участников рынка недвижимости, объем продаж по отношению к периоду годом ранее (в докризисный период),  снизился, что объясняется также сложной экономической ситуацией  в стране.</w:t>
      </w:r>
    </w:p>
    <w:p w:rsidR="00152F86" w:rsidRPr="00FB6ADA" w:rsidRDefault="00152F86" w:rsidP="002D1E4F">
      <w:pPr>
        <w:jc w:val="both"/>
        <w:rPr>
          <w:rFonts w:ascii="Arial" w:hAnsi="Arial" w:cs="Arial"/>
        </w:rPr>
      </w:pPr>
    </w:p>
    <w:p w:rsidR="00EE29B5" w:rsidRPr="00FB6ADA" w:rsidRDefault="00EE29B5" w:rsidP="00B33D45">
      <w:pPr>
        <w:pageBreakBefore/>
        <w:ind w:firstLine="709"/>
        <w:jc w:val="center"/>
        <w:rPr>
          <w:rFonts w:ascii="Arial" w:hAnsi="Arial" w:cs="Arial"/>
          <w:b/>
        </w:rPr>
      </w:pPr>
      <w:r w:rsidRPr="00FB6ADA">
        <w:rPr>
          <w:rFonts w:ascii="Arial" w:hAnsi="Arial" w:cs="Arial"/>
          <w:b/>
        </w:rPr>
        <w:lastRenderedPageBreak/>
        <w:t>Рынок земельных участков</w:t>
      </w:r>
    </w:p>
    <w:p w:rsidR="00225215" w:rsidRPr="00FB6ADA" w:rsidRDefault="00547498" w:rsidP="00225215">
      <w:pPr>
        <w:keepNext/>
        <w:ind w:firstLine="709"/>
        <w:jc w:val="center"/>
        <w:rPr>
          <w:rFonts w:ascii="Arial" w:hAnsi="Arial" w:cs="Arial"/>
        </w:rPr>
      </w:pPr>
      <w:r w:rsidRPr="00547498">
        <w:rPr>
          <w:rFonts w:ascii="Arial" w:hAnsi="Arial" w:cs="Arial"/>
          <w:b/>
          <w:noProof/>
        </w:rPr>
        <w:drawing>
          <wp:inline distT="0" distB="0" distL="0" distR="0">
            <wp:extent cx="4572000" cy="2743200"/>
            <wp:effectExtent l="19050" t="0" r="0" b="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E29B5" w:rsidRPr="00FB6ADA" w:rsidRDefault="00225215" w:rsidP="00225215">
      <w:pPr>
        <w:pStyle w:val="ac"/>
        <w:jc w:val="center"/>
        <w:rPr>
          <w:rFonts w:ascii="Arial" w:hAnsi="Arial" w:cs="Arial"/>
          <w:b w:val="0"/>
          <w:sz w:val="24"/>
          <w:szCs w:val="24"/>
        </w:rPr>
      </w:pPr>
      <w:r w:rsidRPr="00FB6ADA">
        <w:rPr>
          <w:rFonts w:ascii="Arial" w:hAnsi="Arial" w:cs="Arial"/>
          <w:sz w:val="24"/>
          <w:szCs w:val="24"/>
        </w:rPr>
        <w:t xml:space="preserve">Рисунок </w:t>
      </w:r>
      <w:r w:rsidR="001614C0" w:rsidRPr="00FB6ADA">
        <w:rPr>
          <w:rFonts w:ascii="Arial" w:hAnsi="Arial" w:cs="Arial"/>
          <w:sz w:val="24"/>
          <w:szCs w:val="24"/>
        </w:rPr>
        <w:fldChar w:fldCharType="begin"/>
      </w:r>
      <w:r w:rsidR="007A6D40" w:rsidRPr="00FB6ADA">
        <w:rPr>
          <w:rFonts w:ascii="Arial" w:hAnsi="Arial" w:cs="Arial"/>
          <w:sz w:val="24"/>
          <w:szCs w:val="24"/>
        </w:rPr>
        <w:instrText xml:space="preserve"> SEQ Рисунок \* ARABIC </w:instrText>
      </w:r>
      <w:r w:rsidR="001614C0" w:rsidRPr="00FB6ADA">
        <w:rPr>
          <w:rFonts w:ascii="Arial" w:hAnsi="Arial" w:cs="Arial"/>
          <w:sz w:val="24"/>
          <w:szCs w:val="24"/>
        </w:rPr>
        <w:fldChar w:fldCharType="separate"/>
      </w:r>
      <w:r w:rsidRPr="00FB6ADA">
        <w:rPr>
          <w:rFonts w:ascii="Arial" w:hAnsi="Arial" w:cs="Arial"/>
          <w:noProof/>
          <w:sz w:val="24"/>
          <w:szCs w:val="24"/>
        </w:rPr>
        <w:t>3</w:t>
      </w:r>
      <w:r w:rsidR="001614C0" w:rsidRPr="00FB6ADA">
        <w:rPr>
          <w:rFonts w:ascii="Arial" w:hAnsi="Arial" w:cs="Arial"/>
          <w:sz w:val="24"/>
          <w:szCs w:val="24"/>
        </w:rPr>
        <w:fldChar w:fldCharType="end"/>
      </w:r>
      <w:r w:rsidRPr="00FB6ADA">
        <w:rPr>
          <w:rFonts w:ascii="Arial" w:hAnsi="Arial" w:cs="Arial"/>
          <w:sz w:val="24"/>
          <w:szCs w:val="24"/>
        </w:rPr>
        <w:t xml:space="preserve"> Структура продаж по функциональному назначению</w:t>
      </w:r>
    </w:p>
    <w:p w:rsidR="00152F86" w:rsidRPr="00FB6ADA" w:rsidRDefault="00152F86" w:rsidP="008558F9">
      <w:pPr>
        <w:rPr>
          <w:rFonts w:ascii="Arial" w:hAnsi="Arial" w:cs="Arial"/>
          <w:b/>
        </w:rPr>
      </w:pPr>
    </w:p>
    <w:p w:rsidR="00EE29B5" w:rsidRPr="00FB6ADA" w:rsidRDefault="00EE29B5" w:rsidP="00EE29B5">
      <w:pPr>
        <w:ind w:firstLine="709"/>
        <w:jc w:val="center"/>
        <w:rPr>
          <w:rFonts w:ascii="Arial" w:hAnsi="Arial" w:cs="Arial"/>
          <w:b/>
        </w:rPr>
      </w:pPr>
    </w:p>
    <w:p w:rsidR="00EE29B5" w:rsidRPr="00FB6ADA" w:rsidRDefault="00EE29B5" w:rsidP="00EE29B5">
      <w:pPr>
        <w:spacing w:after="240"/>
        <w:ind w:firstLine="709"/>
        <w:jc w:val="both"/>
        <w:rPr>
          <w:rFonts w:ascii="Arial" w:hAnsi="Arial" w:cs="Arial"/>
          <w:b/>
        </w:rPr>
      </w:pPr>
      <w:r w:rsidRPr="00FB6ADA">
        <w:rPr>
          <w:rFonts w:ascii="Arial" w:hAnsi="Arial" w:cs="Arial"/>
          <w:b/>
        </w:rPr>
        <w:t>Индивидуальное жилищное строительство (ИЖС)</w:t>
      </w:r>
    </w:p>
    <w:p w:rsidR="00EE29B5" w:rsidRPr="00FB6ADA" w:rsidRDefault="00EE29B5" w:rsidP="00B33D45">
      <w:pPr>
        <w:keepNext/>
        <w:jc w:val="center"/>
        <w:rPr>
          <w:rFonts w:ascii="Arial" w:hAnsi="Arial" w:cs="Arial"/>
        </w:rPr>
      </w:pPr>
      <w:r w:rsidRPr="00FB6ADA">
        <w:rPr>
          <w:rFonts w:ascii="Arial" w:hAnsi="Arial" w:cs="Arial"/>
          <w:spacing w:val="-6"/>
        </w:rPr>
        <w:t>Результат проведенного анализа представлен в следующей таблице.</w:t>
      </w:r>
      <w:r w:rsidRPr="00FB6ADA">
        <w:rPr>
          <w:rFonts w:ascii="Arial" w:hAnsi="Arial" w:cs="Arial"/>
        </w:rPr>
        <w:t xml:space="preserve"> </w:t>
      </w:r>
    </w:p>
    <w:tbl>
      <w:tblPr>
        <w:tblStyle w:val="-"/>
        <w:tblW w:w="5000" w:type="pct"/>
        <w:tblBorders>
          <w:insideH w:val="single" w:sz="4" w:space="0" w:color="D9D9D9" w:themeColor="background1" w:themeShade="D9"/>
        </w:tblBorders>
        <w:tblLook w:val="04A0" w:firstRow="1" w:lastRow="0" w:firstColumn="1" w:lastColumn="0" w:noHBand="0" w:noVBand="1"/>
      </w:tblPr>
      <w:tblGrid>
        <w:gridCol w:w="3652"/>
        <w:gridCol w:w="3402"/>
        <w:gridCol w:w="2517"/>
      </w:tblGrid>
      <w:tr w:rsidR="00225215" w:rsidRPr="00FB6ADA" w:rsidTr="00432E11">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908" w:type="pct"/>
            <w:shd w:val="clear" w:color="auto" w:fill="D9D9D9" w:themeFill="background1" w:themeFillShade="D9"/>
            <w:hideMark/>
          </w:tcPr>
          <w:p w:rsidR="00225215" w:rsidRPr="00FB6ADA" w:rsidRDefault="00225215" w:rsidP="00432E11">
            <w:pPr>
              <w:rPr>
                <w:rFonts w:ascii="Arial" w:hAnsi="Arial" w:cs="Arial"/>
                <w:b w:val="0"/>
                <w:color w:val="auto"/>
                <w:szCs w:val="24"/>
              </w:rPr>
            </w:pPr>
            <w:r w:rsidRPr="00FB6ADA">
              <w:rPr>
                <w:rFonts w:ascii="Arial" w:hAnsi="Arial" w:cs="Arial"/>
                <w:b w:val="0"/>
                <w:color w:val="auto"/>
                <w:szCs w:val="24"/>
              </w:rPr>
              <w:t>Диапазон цен единого объекта, руб.</w:t>
            </w:r>
          </w:p>
        </w:tc>
        <w:tc>
          <w:tcPr>
            <w:tcW w:w="1777" w:type="pct"/>
            <w:shd w:val="clear" w:color="auto" w:fill="D9D9D9" w:themeFill="background1" w:themeFillShade="D9"/>
          </w:tcPr>
          <w:p w:rsidR="00225215" w:rsidRPr="00FB6ADA" w:rsidRDefault="00225215" w:rsidP="00432E11">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4"/>
              </w:rPr>
            </w:pPr>
            <w:r w:rsidRPr="00FB6ADA">
              <w:rPr>
                <w:rFonts w:ascii="Arial" w:hAnsi="Arial" w:cs="Arial"/>
                <w:b w:val="0"/>
                <w:color w:val="auto"/>
                <w:szCs w:val="24"/>
              </w:rPr>
              <w:t>Диапазон цен, руб. за 1 кв.м</w:t>
            </w:r>
          </w:p>
        </w:tc>
        <w:tc>
          <w:tcPr>
            <w:tcW w:w="1315" w:type="pct"/>
            <w:shd w:val="clear" w:color="auto" w:fill="D9D9D9" w:themeFill="background1" w:themeFillShade="D9"/>
            <w:hideMark/>
          </w:tcPr>
          <w:p w:rsidR="00225215" w:rsidRPr="00FB6ADA" w:rsidRDefault="00225215" w:rsidP="00432E11">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4"/>
              </w:rPr>
            </w:pPr>
            <w:r w:rsidRPr="00FB6ADA">
              <w:rPr>
                <w:rFonts w:ascii="Arial" w:hAnsi="Arial" w:cs="Arial"/>
                <w:b w:val="0"/>
                <w:color w:val="auto"/>
                <w:szCs w:val="24"/>
              </w:rPr>
              <w:t>Ср. цена руб. за 1 кв. м.</w:t>
            </w:r>
          </w:p>
        </w:tc>
      </w:tr>
      <w:tr w:rsidR="00225215" w:rsidRPr="00FB6ADA" w:rsidTr="00432E11">
        <w:trPr>
          <w:trHeight w:val="20"/>
        </w:trPr>
        <w:tc>
          <w:tcPr>
            <w:cnfStyle w:val="001000000000" w:firstRow="0" w:lastRow="0" w:firstColumn="1" w:lastColumn="0" w:oddVBand="0" w:evenVBand="0" w:oddHBand="0" w:evenHBand="0" w:firstRowFirstColumn="0" w:firstRowLastColumn="0" w:lastRowFirstColumn="0" w:lastRowLastColumn="0"/>
            <w:tcW w:w="1908" w:type="pct"/>
            <w:hideMark/>
          </w:tcPr>
          <w:p w:rsidR="00225215" w:rsidRPr="00FB6ADA" w:rsidRDefault="00225215" w:rsidP="00547498">
            <w:pPr>
              <w:rPr>
                <w:rFonts w:ascii="Arial" w:hAnsi="Arial" w:cs="Arial"/>
                <w:b/>
                <w:bCs/>
                <w:color w:val="auto"/>
                <w:szCs w:val="24"/>
              </w:rPr>
            </w:pPr>
            <w:r w:rsidRPr="00FB6ADA">
              <w:rPr>
                <w:rFonts w:ascii="Arial" w:hAnsi="Arial" w:cs="Arial"/>
                <w:b/>
                <w:bCs/>
                <w:color w:val="auto"/>
                <w:szCs w:val="24"/>
              </w:rPr>
              <w:t xml:space="preserve">50 000 - </w:t>
            </w:r>
            <w:r w:rsidR="00547498">
              <w:rPr>
                <w:rFonts w:ascii="Arial" w:hAnsi="Arial" w:cs="Arial"/>
                <w:b/>
                <w:bCs/>
                <w:color w:val="auto"/>
                <w:szCs w:val="24"/>
              </w:rPr>
              <w:t>8</w:t>
            </w:r>
            <w:r w:rsidRPr="00FB6ADA">
              <w:rPr>
                <w:rFonts w:ascii="Arial" w:hAnsi="Arial" w:cs="Arial"/>
                <w:b/>
                <w:bCs/>
                <w:color w:val="auto"/>
                <w:szCs w:val="24"/>
              </w:rPr>
              <w:t xml:space="preserve"> 000 000</w:t>
            </w:r>
          </w:p>
        </w:tc>
        <w:tc>
          <w:tcPr>
            <w:tcW w:w="1777" w:type="pct"/>
            <w:shd w:val="clear" w:color="auto" w:fill="D9D9D9" w:themeFill="background1" w:themeFillShade="D9"/>
          </w:tcPr>
          <w:p w:rsidR="00225215" w:rsidRPr="00FB6ADA" w:rsidRDefault="00225215" w:rsidP="00547498">
            <w:pP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Cs w:val="24"/>
              </w:rPr>
            </w:pPr>
            <w:r w:rsidRPr="00FB6ADA">
              <w:rPr>
                <w:rFonts w:ascii="Arial" w:hAnsi="Arial" w:cs="Arial"/>
                <w:b/>
                <w:bCs/>
                <w:color w:val="auto"/>
                <w:szCs w:val="24"/>
              </w:rPr>
              <w:t>1</w:t>
            </w:r>
            <w:r w:rsidR="00547498">
              <w:rPr>
                <w:rFonts w:ascii="Arial" w:hAnsi="Arial" w:cs="Arial"/>
                <w:b/>
                <w:bCs/>
                <w:color w:val="auto"/>
                <w:szCs w:val="24"/>
              </w:rPr>
              <w:t>88</w:t>
            </w:r>
            <w:r w:rsidRPr="00FB6ADA">
              <w:rPr>
                <w:rFonts w:ascii="Arial" w:hAnsi="Arial" w:cs="Arial"/>
                <w:b/>
                <w:bCs/>
                <w:color w:val="auto"/>
                <w:szCs w:val="24"/>
              </w:rPr>
              <w:t xml:space="preserve"> - </w:t>
            </w:r>
            <w:r w:rsidR="00547498">
              <w:rPr>
                <w:rFonts w:ascii="Arial" w:hAnsi="Arial" w:cs="Arial"/>
                <w:b/>
                <w:bCs/>
                <w:color w:val="auto"/>
                <w:szCs w:val="24"/>
              </w:rPr>
              <w:t>7</w:t>
            </w:r>
            <w:r w:rsidRPr="00FB6ADA">
              <w:rPr>
                <w:rFonts w:ascii="Arial" w:hAnsi="Arial" w:cs="Arial"/>
                <w:b/>
                <w:bCs/>
                <w:color w:val="auto"/>
                <w:szCs w:val="24"/>
              </w:rPr>
              <w:t xml:space="preserve"> 5</w:t>
            </w:r>
            <w:r w:rsidR="00547498">
              <w:rPr>
                <w:rFonts w:ascii="Arial" w:hAnsi="Arial" w:cs="Arial"/>
                <w:b/>
                <w:bCs/>
                <w:color w:val="auto"/>
                <w:szCs w:val="24"/>
              </w:rPr>
              <w:t>00</w:t>
            </w:r>
          </w:p>
        </w:tc>
        <w:tc>
          <w:tcPr>
            <w:tcW w:w="1315" w:type="pct"/>
            <w:shd w:val="clear" w:color="auto" w:fill="D9D9D9" w:themeFill="background1" w:themeFillShade="D9"/>
            <w:hideMark/>
          </w:tcPr>
          <w:p w:rsidR="00225215" w:rsidRPr="00FB6ADA" w:rsidRDefault="00547498" w:rsidP="00225215">
            <w:pP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Cs w:val="24"/>
              </w:rPr>
            </w:pPr>
            <w:r>
              <w:rPr>
                <w:rFonts w:ascii="Arial" w:hAnsi="Arial" w:cs="Arial"/>
                <w:b/>
                <w:bCs/>
                <w:color w:val="auto"/>
                <w:szCs w:val="24"/>
              </w:rPr>
              <w:t>1 000 – 2 000</w:t>
            </w:r>
          </w:p>
        </w:tc>
      </w:tr>
    </w:tbl>
    <w:p w:rsidR="00EE29B5" w:rsidRPr="00FB6ADA" w:rsidRDefault="00EE29B5" w:rsidP="00EE29B5">
      <w:pPr>
        <w:ind w:firstLine="709"/>
        <w:jc w:val="both"/>
        <w:rPr>
          <w:rFonts w:ascii="Arial" w:hAnsi="Arial" w:cs="Arial"/>
        </w:rPr>
      </w:pPr>
    </w:p>
    <w:p w:rsidR="00EE29B5" w:rsidRPr="00FB6ADA" w:rsidRDefault="00EE29B5" w:rsidP="00054DE8">
      <w:pPr>
        <w:jc w:val="center"/>
        <w:rPr>
          <w:rFonts w:ascii="Arial" w:hAnsi="Arial" w:cs="Arial"/>
          <w:b/>
        </w:rPr>
      </w:pPr>
      <w:r w:rsidRPr="00FB6ADA">
        <w:rPr>
          <w:rFonts w:ascii="Arial" w:hAnsi="Arial" w:cs="Arial"/>
          <w:b/>
        </w:rPr>
        <w:t>Коммерческая застройка</w:t>
      </w:r>
    </w:p>
    <w:p w:rsidR="00EE29B5" w:rsidRPr="00FB6ADA" w:rsidRDefault="00EE29B5" w:rsidP="00EE29B5">
      <w:pPr>
        <w:ind w:firstLine="709"/>
        <w:jc w:val="both"/>
        <w:rPr>
          <w:rFonts w:ascii="Arial" w:hAnsi="Arial" w:cs="Arial"/>
          <w:spacing w:val="-6"/>
        </w:rPr>
      </w:pPr>
      <w:r w:rsidRPr="00FB6ADA">
        <w:rPr>
          <w:rFonts w:ascii="Arial" w:hAnsi="Arial" w:cs="Arial"/>
          <w:spacing w:val="-6"/>
        </w:rPr>
        <w:t>Результат проведенного анализа представлен в следующей таблице.</w:t>
      </w:r>
    </w:p>
    <w:tbl>
      <w:tblPr>
        <w:tblStyle w:val="-"/>
        <w:tblW w:w="5000" w:type="pct"/>
        <w:tblBorders>
          <w:insideH w:val="single" w:sz="4" w:space="0" w:color="D9D9D9" w:themeColor="background1" w:themeShade="D9"/>
        </w:tblBorders>
        <w:tblLook w:val="04A0" w:firstRow="1" w:lastRow="0" w:firstColumn="1" w:lastColumn="0" w:noHBand="0" w:noVBand="1"/>
      </w:tblPr>
      <w:tblGrid>
        <w:gridCol w:w="3652"/>
        <w:gridCol w:w="3402"/>
        <w:gridCol w:w="2517"/>
      </w:tblGrid>
      <w:tr w:rsidR="00225215" w:rsidRPr="00FB6ADA" w:rsidTr="00432E11">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908" w:type="pct"/>
            <w:shd w:val="clear" w:color="auto" w:fill="D9D9D9" w:themeFill="background1" w:themeFillShade="D9"/>
            <w:hideMark/>
          </w:tcPr>
          <w:p w:rsidR="00225215" w:rsidRPr="00FB6ADA" w:rsidRDefault="00225215" w:rsidP="00432E11">
            <w:pPr>
              <w:rPr>
                <w:rFonts w:ascii="Arial" w:hAnsi="Arial" w:cs="Arial"/>
                <w:b w:val="0"/>
                <w:color w:val="auto"/>
                <w:szCs w:val="24"/>
              </w:rPr>
            </w:pPr>
            <w:r w:rsidRPr="00FB6ADA">
              <w:rPr>
                <w:rFonts w:ascii="Arial" w:hAnsi="Arial" w:cs="Arial"/>
                <w:b w:val="0"/>
                <w:color w:val="auto"/>
                <w:szCs w:val="24"/>
              </w:rPr>
              <w:t>Диапазон цен единого объекта, руб.</w:t>
            </w:r>
          </w:p>
        </w:tc>
        <w:tc>
          <w:tcPr>
            <w:tcW w:w="1777" w:type="pct"/>
            <w:shd w:val="clear" w:color="auto" w:fill="D9D9D9" w:themeFill="background1" w:themeFillShade="D9"/>
          </w:tcPr>
          <w:p w:rsidR="00225215" w:rsidRPr="00FB6ADA" w:rsidRDefault="00225215" w:rsidP="00432E11">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4"/>
              </w:rPr>
            </w:pPr>
            <w:r w:rsidRPr="00FB6ADA">
              <w:rPr>
                <w:rFonts w:ascii="Arial" w:hAnsi="Arial" w:cs="Arial"/>
                <w:b w:val="0"/>
                <w:color w:val="auto"/>
                <w:szCs w:val="24"/>
              </w:rPr>
              <w:t>Диапазон цен, руб. за 1 кв.м</w:t>
            </w:r>
          </w:p>
        </w:tc>
        <w:tc>
          <w:tcPr>
            <w:tcW w:w="1315" w:type="pct"/>
            <w:shd w:val="clear" w:color="auto" w:fill="D9D9D9" w:themeFill="background1" w:themeFillShade="D9"/>
            <w:hideMark/>
          </w:tcPr>
          <w:p w:rsidR="00225215" w:rsidRPr="00FB6ADA" w:rsidRDefault="00225215" w:rsidP="00432E11">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4"/>
              </w:rPr>
            </w:pPr>
            <w:r w:rsidRPr="00FB6ADA">
              <w:rPr>
                <w:rFonts w:ascii="Arial" w:hAnsi="Arial" w:cs="Arial"/>
                <w:b w:val="0"/>
                <w:color w:val="auto"/>
                <w:szCs w:val="24"/>
              </w:rPr>
              <w:t>Ср. цена руб. за 1 кв. м.</w:t>
            </w:r>
          </w:p>
        </w:tc>
      </w:tr>
      <w:tr w:rsidR="00225215" w:rsidRPr="00FB6ADA" w:rsidTr="00432E11">
        <w:trPr>
          <w:trHeight w:val="20"/>
        </w:trPr>
        <w:tc>
          <w:tcPr>
            <w:cnfStyle w:val="001000000000" w:firstRow="0" w:lastRow="0" w:firstColumn="1" w:lastColumn="0" w:oddVBand="0" w:evenVBand="0" w:oddHBand="0" w:evenHBand="0" w:firstRowFirstColumn="0" w:firstRowLastColumn="0" w:lastRowFirstColumn="0" w:lastRowLastColumn="0"/>
            <w:tcW w:w="1908" w:type="pct"/>
            <w:hideMark/>
          </w:tcPr>
          <w:p w:rsidR="00225215" w:rsidRPr="00FB6ADA" w:rsidRDefault="00547498" w:rsidP="00547498">
            <w:pPr>
              <w:rPr>
                <w:rFonts w:ascii="Arial" w:hAnsi="Arial" w:cs="Arial"/>
                <w:b/>
                <w:bCs/>
                <w:color w:val="auto"/>
                <w:szCs w:val="24"/>
              </w:rPr>
            </w:pPr>
            <w:r>
              <w:rPr>
                <w:rFonts w:ascii="Arial" w:hAnsi="Arial" w:cs="Arial"/>
                <w:b/>
                <w:bCs/>
                <w:color w:val="auto"/>
                <w:szCs w:val="24"/>
              </w:rPr>
              <w:t>50 000 - 10</w:t>
            </w:r>
            <w:r w:rsidR="00225215" w:rsidRPr="00FB6ADA">
              <w:rPr>
                <w:rFonts w:ascii="Arial" w:hAnsi="Arial" w:cs="Arial"/>
                <w:b/>
                <w:bCs/>
                <w:color w:val="auto"/>
                <w:szCs w:val="24"/>
              </w:rPr>
              <w:t xml:space="preserve"> 000 000</w:t>
            </w:r>
          </w:p>
        </w:tc>
        <w:tc>
          <w:tcPr>
            <w:tcW w:w="1777" w:type="pct"/>
            <w:shd w:val="clear" w:color="auto" w:fill="D9D9D9" w:themeFill="background1" w:themeFillShade="D9"/>
          </w:tcPr>
          <w:p w:rsidR="00225215" w:rsidRPr="00FB6ADA" w:rsidRDefault="00547498" w:rsidP="00547498">
            <w:pP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Cs w:val="24"/>
              </w:rPr>
            </w:pPr>
            <w:r>
              <w:rPr>
                <w:rFonts w:ascii="Arial" w:hAnsi="Arial" w:cs="Arial"/>
                <w:b/>
                <w:bCs/>
                <w:color w:val="auto"/>
                <w:szCs w:val="24"/>
              </w:rPr>
              <w:t>308</w:t>
            </w:r>
            <w:r w:rsidR="00225215" w:rsidRPr="00FB6ADA">
              <w:rPr>
                <w:rFonts w:ascii="Arial" w:hAnsi="Arial" w:cs="Arial"/>
                <w:b/>
                <w:bCs/>
                <w:color w:val="auto"/>
                <w:szCs w:val="24"/>
              </w:rPr>
              <w:t xml:space="preserve"> - </w:t>
            </w:r>
            <w:r>
              <w:rPr>
                <w:rFonts w:ascii="Arial" w:hAnsi="Arial" w:cs="Arial"/>
                <w:b/>
                <w:bCs/>
                <w:color w:val="auto"/>
                <w:szCs w:val="24"/>
              </w:rPr>
              <w:t>5</w:t>
            </w:r>
            <w:r w:rsidR="00225215" w:rsidRPr="00FB6ADA">
              <w:rPr>
                <w:rFonts w:ascii="Arial" w:hAnsi="Arial" w:cs="Arial"/>
                <w:b/>
                <w:bCs/>
                <w:color w:val="auto"/>
                <w:szCs w:val="24"/>
              </w:rPr>
              <w:t xml:space="preserve"> </w:t>
            </w:r>
            <w:r>
              <w:rPr>
                <w:rFonts w:ascii="Arial" w:hAnsi="Arial" w:cs="Arial"/>
                <w:b/>
                <w:bCs/>
                <w:color w:val="auto"/>
                <w:szCs w:val="24"/>
              </w:rPr>
              <w:t>625</w:t>
            </w:r>
          </w:p>
        </w:tc>
        <w:tc>
          <w:tcPr>
            <w:tcW w:w="1315" w:type="pct"/>
            <w:shd w:val="clear" w:color="auto" w:fill="D9D9D9" w:themeFill="background1" w:themeFillShade="D9"/>
            <w:hideMark/>
          </w:tcPr>
          <w:p w:rsidR="00225215" w:rsidRPr="00FB6ADA" w:rsidRDefault="00547498" w:rsidP="00547498">
            <w:pP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Cs w:val="24"/>
              </w:rPr>
            </w:pPr>
            <w:r>
              <w:rPr>
                <w:rFonts w:ascii="Arial" w:hAnsi="Arial" w:cs="Arial"/>
                <w:b/>
                <w:bCs/>
                <w:color w:val="auto"/>
                <w:szCs w:val="24"/>
              </w:rPr>
              <w:t>1 000 – 2 000</w:t>
            </w:r>
          </w:p>
        </w:tc>
      </w:tr>
    </w:tbl>
    <w:p w:rsidR="00225215" w:rsidRPr="00FB6ADA" w:rsidRDefault="00225215" w:rsidP="00EE29B5">
      <w:pPr>
        <w:ind w:firstLine="709"/>
        <w:jc w:val="both"/>
        <w:rPr>
          <w:rFonts w:ascii="Arial" w:hAnsi="Arial" w:cs="Arial"/>
          <w:spacing w:val="-6"/>
        </w:rPr>
      </w:pPr>
    </w:p>
    <w:p w:rsidR="00EE29B5" w:rsidRPr="00FB6ADA" w:rsidRDefault="00EE29B5" w:rsidP="00054DE8">
      <w:pPr>
        <w:jc w:val="center"/>
        <w:outlineLvl w:val="1"/>
        <w:rPr>
          <w:rFonts w:ascii="Arial" w:hAnsi="Arial" w:cs="Arial"/>
          <w:b/>
        </w:rPr>
      </w:pPr>
      <w:r w:rsidRPr="00FB6ADA">
        <w:rPr>
          <w:rFonts w:ascii="Arial" w:hAnsi="Arial" w:cs="Arial"/>
          <w:b/>
        </w:rPr>
        <w:t>Основные выводы относительно рынка земельных участков</w:t>
      </w:r>
    </w:p>
    <w:p w:rsidR="00EE29B5" w:rsidRPr="00FB6ADA" w:rsidRDefault="00EE29B5" w:rsidP="00EE29B5">
      <w:pPr>
        <w:ind w:firstLine="709"/>
        <w:jc w:val="both"/>
        <w:rPr>
          <w:rFonts w:ascii="Arial" w:hAnsi="Arial" w:cs="Arial"/>
        </w:rPr>
      </w:pPr>
      <w:r w:rsidRPr="00FB6ADA">
        <w:rPr>
          <w:rFonts w:ascii="Arial" w:hAnsi="Arial" w:cs="Arial"/>
        </w:rPr>
        <w:t>Проведенный анализ рынка показал следующее:</w:t>
      </w:r>
    </w:p>
    <w:p w:rsidR="00054DE8" w:rsidRPr="00FB6ADA" w:rsidRDefault="00054DE8" w:rsidP="00054DE8">
      <w:pPr>
        <w:ind w:firstLine="709"/>
        <w:jc w:val="both"/>
        <w:rPr>
          <w:rFonts w:ascii="Arial" w:hAnsi="Arial" w:cs="Arial"/>
        </w:rPr>
      </w:pPr>
      <w:r w:rsidRPr="00FB6ADA">
        <w:rPr>
          <w:rFonts w:ascii="Arial" w:hAnsi="Arial" w:cs="Arial"/>
        </w:rPr>
        <w:t xml:space="preserve">Земельные участки под индивидуальное жилищное строительство выставляются на рынок (без учета скидки на торг) в диапазоне от </w:t>
      </w:r>
      <w:r w:rsidR="00547498">
        <w:rPr>
          <w:rFonts w:ascii="Arial" w:hAnsi="Arial" w:cs="Arial"/>
        </w:rPr>
        <w:t>18</w:t>
      </w:r>
      <w:r w:rsidR="0089534D">
        <w:rPr>
          <w:rFonts w:ascii="Arial" w:hAnsi="Arial" w:cs="Arial"/>
        </w:rPr>
        <w:t xml:space="preserve"> </w:t>
      </w:r>
      <w:r w:rsidR="00547498">
        <w:rPr>
          <w:rFonts w:ascii="Arial" w:hAnsi="Arial" w:cs="Arial"/>
        </w:rPr>
        <w:t xml:space="preserve">800 </w:t>
      </w:r>
      <w:r w:rsidRPr="00FB6ADA">
        <w:rPr>
          <w:rFonts w:ascii="Arial" w:hAnsi="Arial" w:cs="Arial"/>
        </w:rPr>
        <w:t xml:space="preserve">руб./сот. – </w:t>
      </w:r>
      <w:r w:rsidR="00547498">
        <w:rPr>
          <w:rFonts w:ascii="Arial" w:hAnsi="Arial" w:cs="Arial"/>
        </w:rPr>
        <w:t>75</w:t>
      </w:r>
      <w:r w:rsidRPr="00FB6ADA">
        <w:rPr>
          <w:rFonts w:ascii="Arial" w:hAnsi="Arial" w:cs="Arial"/>
        </w:rPr>
        <w:t>0</w:t>
      </w:r>
      <w:r w:rsidR="00547498">
        <w:rPr>
          <w:rFonts w:ascii="Arial" w:hAnsi="Arial" w:cs="Arial"/>
        </w:rPr>
        <w:t xml:space="preserve"> </w:t>
      </w:r>
      <w:r w:rsidRPr="00FB6ADA">
        <w:rPr>
          <w:rFonts w:ascii="Arial" w:hAnsi="Arial" w:cs="Arial"/>
        </w:rPr>
        <w:t>0</w:t>
      </w:r>
      <w:r w:rsidR="00547498">
        <w:rPr>
          <w:rFonts w:ascii="Arial" w:hAnsi="Arial" w:cs="Arial"/>
        </w:rPr>
        <w:t xml:space="preserve">00 </w:t>
      </w:r>
      <w:r w:rsidRPr="00FB6ADA">
        <w:rPr>
          <w:rFonts w:ascii="Arial" w:hAnsi="Arial" w:cs="Arial"/>
        </w:rPr>
        <w:t xml:space="preserve">руб./сот. в зависимости от различных ценообразующих факторов, в среднем же по состоянию на </w:t>
      </w:r>
      <w:r w:rsidR="00B86EA2" w:rsidRPr="00FB6ADA">
        <w:rPr>
          <w:rFonts w:ascii="Arial" w:hAnsi="Arial" w:cs="Arial"/>
        </w:rPr>
        <w:t>август</w:t>
      </w:r>
      <w:r w:rsidRPr="00FB6ADA">
        <w:rPr>
          <w:rFonts w:ascii="Arial" w:hAnsi="Arial" w:cs="Arial"/>
        </w:rPr>
        <w:t xml:space="preserve"> 2018 г. цена предложения земельных участков под ИЖС составляет </w:t>
      </w:r>
      <w:r w:rsidR="00547498">
        <w:rPr>
          <w:rFonts w:ascii="Arial" w:hAnsi="Arial" w:cs="Arial"/>
        </w:rPr>
        <w:t>1</w:t>
      </w:r>
      <w:r w:rsidR="004643BE" w:rsidRPr="00FB6ADA">
        <w:rPr>
          <w:rFonts w:ascii="Arial" w:hAnsi="Arial" w:cs="Arial"/>
        </w:rPr>
        <w:t>00</w:t>
      </w:r>
      <w:r w:rsidR="00547498">
        <w:rPr>
          <w:rFonts w:ascii="Arial" w:hAnsi="Arial" w:cs="Arial"/>
        </w:rPr>
        <w:t> 000 – 200 000</w:t>
      </w:r>
      <w:r w:rsidRPr="00FB6ADA">
        <w:rPr>
          <w:rFonts w:ascii="Arial" w:hAnsi="Arial" w:cs="Arial"/>
        </w:rPr>
        <w:t xml:space="preserve"> руб./сот.</w:t>
      </w:r>
    </w:p>
    <w:p w:rsidR="00054DE8" w:rsidRPr="00FB6ADA" w:rsidRDefault="00054DE8" w:rsidP="00054DE8">
      <w:pPr>
        <w:ind w:firstLine="709"/>
        <w:jc w:val="both"/>
        <w:rPr>
          <w:rFonts w:ascii="Arial" w:hAnsi="Arial" w:cs="Arial"/>
        </w:rPr>
      </w:pPr>
      <w:r w:rsidRPr="00FB6ADA">
        <w:rPr>
          <w:rFonts w:ascii="Arial" w:hAnsi="Arial" w:cs="Arial"/>
        </w:rPr>
        <w:t xml:space="preserve">Цена предложения земельных участков под коммерческую застройку в диапазоне от </w:t>
      </w:r>
      <w:r w:rsidR="00547498">
        <w:rPr>
          <w:rFonts w:ascii="Arial" w:hAnsi="Arial" w:cs="Arial"/>
        </w:rPr>
        <w:t>30</w:t>
      </w:r>
      <w:r w:rsidR="0089534D">
        <w:rPr>
          <w:rFonts w:ascii="Arial" w:hAnsi="Arial" w:cs="Arial"/>
        </w:rPr>
        <w:t xml:space="preserve"> </w:t>
      </w:r>
      <w:r w:rsidR="00547498">
        <w:rPr>
          <w:rFonts w:ascii="Arial" w:hAnsi="Arial" w:cs="Arial"/>
        </w:rPr>
        <w:t>800</w:t>
      </w:r>
      <w:r w:rsidRPr="00FB6ADA">
        <w:rPr>
          <w:rFonts w:ascii="Arial" w:hAnsi="Arial" w:cs="Arial"/>
        </w:rPr>
        <w:t xml:space="preserve"> руб./сот. – </w:t>
      </w:r>
      <w:r w:rsidR="00547498">
        <w:rPr>
          <w:rFonts w:ascii="Arial" w:hAnsi="Arial" w:cs="Arial"/>
        </w:rPr>
        <w:t>562</w:t>
      </w:r>
      <w:r w:rsidR="0089534D">
        <w:rPr>
          <w:rFonts w:ascii="Arial" w:hAnsi="Arial" w:cs="Arial"/>
        </w:rPr>
        <w:t xml:space="preserve"> </w:t>
      </w:r>
      <w:r w:rsidR="00547498">
        <w:rPr>
          <w:rFonts w:ascii="Arial" w:hAnsi="Arial" w:cs="Arial"/>
        </w:rPr>
        <w:t>5</w:t>
      </w:r>
      <w:r w:rsidR="004643BE" w:rsidRPr="00FB6ADA">
        <w:rPr>
          <w:rFonts w:ascii="Arial" w:hAnsi="Arial" w:cs="Arial"/>
        </w:rPr>
        <w:t>00</w:t>
      </w:r>
      <w:r w:rsidRPr="00FB6ADA">
        <w:rPr>
          <w:rFonts w:ascii="Arial" w:hAnsi="Arial" w:cs="Arial"/>
        </w:rPr>
        <w:t xml:space="preserve"> руб./сот. (без учета скидки на торг) составляет </w:t>
      </w:r>
      <w:r w:rsidR="004643BE" w:rsidRPr="00FB6ADA">
        <w:rPr>
          <w:rFonts w:ascii="Arial" w:hAnsi="Arial" w:cs="Arial"/>
        </w:rPr>
        <w:t>1</w:t>
      </w:r>
      <w:r w:rsidR="00547498">
        <w:rPr>
          <w:rFonts w:ascii="Arial" w:hAnsi="Arial" w:cs="Arial"/>
        </w:rPr>
        <w:t>00</w:t>
      </w:r>
      <w:r w:rsidR="004643BE" w:rsidRPr="00FB6ADA">
        <w:rPr>
          <w:rFonts w:ascii="Arial" w:hAnsi="Arial" w:cs="Arial"/>
        </w:rPr>
        <w:t xml:space="preserve"> </w:t>
      </w:r>
      <w:r w:rsidR="00547498">
        <w:rPr>
          <w:rFonts w:ascii="Arial" w:hAnsi="Arial" w:cs="Arial"/>
        </w:rPr>
        <w:t>0</w:t>
      </w:r>
      <w:r w:rsidR="004643BE" w:rsidRPr="00FB6ADA">
        <w:rPr>
          <w:rFonts w:ascii="Arial" w:hAnsi="Arial" w:cs="Arial"/>
        </w:rPr>
        <w:t>00</w:t>
      </w:r>
      <w:r w:rsidRPr="00FB6ADA">
        <w:rPr>
          <w:rFonts w:ascii="Arial" w:hAnsi="Arial" w:cs="Arial"/>
        </w:rPr>
        <w:t xml:space="preserve"> </w:t>
      </w:r>
      <w:r w:rsidR="00547498">
        <w:rPr>
          <w:rFonts w:ascii="Arial" w:hAnsi="Arial" w:cs="Arial"/>
        </w:rPr>
        <w:t xml:space="preserve">– 200 000 </w:t>
      </w:r>
      <w:r w:rsidRPr="00FB6ADA">
        <w:rPr>
          <w:rFonts w:ascii="Arial" w:hAnsi="Arial" w:cs="Arial"/>
        </w:rPr>
        <w:t>руб./сот.</w:t>
      </w:r>
    </w:p>
    <w:p w:rsidR="004643BE" w:rsidRPr="00FB6ADA" w:rsidRDefault="004643BE" w:rsidP="004643BE">
      <w:pPr>
        <w:ind w:firstLine="709"/>
        <w:jc w:val="both"/>
        <w:rPr>
          <w:rFonts w:ascii="Arial" w:hAnsi="Arial" w:cs="Arial"/>
        </w:rPr>
      </w:pPr>
      <w:r w:rsidRPr="00FB6ADA">
        <w:rPr>
          <w:rFonts w:ascii="Arial" w:hAnsi="Arial" w:cs="Arial"/>
        </w:rPr>
        <w:t xml:space="preserve">Динамика рынка </w:t>
      </w:r>
      <w:r w:rsidR="0089534D">
        <w:rPr>
          <w:rFonts w:ascii="Arial" w:hAnsi="Arial" w:cs="Arial"/>
        </w:rPr>
        <w:t>земельных участков</w:t>
      </w:r>
      <w:r w:rsidRPr="00FB6ADA">
        <w:rPr>
          <w:rFonts w:ascii="Arial" w:hAnsi="Arial" w:cs="Arial"/>
        </w:rPr>
        <w:t xml:space="preserve">: наблюдается стагнация на рынке </w:t>
      </w:r>
      <w:r w:rsidR="0089534D">
        <w:rPr>
          <w:rFonts w:ascii="Arial" w:hAnsi="Arial" w:cs="Arial"/>
        </w:rPr>
        <w:t>земельных участков</w:t>
      </w:r>
      <w:r w:rsidRPr="00FB6ADA">
        <w:rPr>
          <w:rFonts w:ascii="Arial" w:hAnsi="Arial" w:cs="Arial"/>
        </w:rPr>
        <w:t xml:space="preserve">. Основными факторами данных процессов являются скептические ожидания рынка на фоне снижения платежеспособного спроса. </w:t>
      </w:r>
    </w:p>
    <w:p w:rsidR="004643BE" w:rsidRPr="00FB6ADA" w:rsidRDefault="004643BE" w:rsidP="004643BE">
      <w:pPr>
        <w:ind w:firstLine="709"/>
        <w:jc w:val="both"/>
        <w:rPr>
          <w:rFonts w:ascii="Arial" w:hAnsi="Arial" w:cs="Arial"/>
        </w:rPr>
      </w:pPr>
      <w:r w:rsidRPr="00FB6ADA">
        <w:rPr>
          <w:rFonts w:ascii="Arial" w:hAnsi="Arial" w:cs="Arial"/>
        </w:rPr>
        <w:t xml:space="preserve">Спрос, предложение: наблюдается перевес предложения над спросом, что обусловлено сложной экономической ситуацией в стране, большой </w:t>
      </w:r>
      <w:proofErr w:type="spellStart"/>
      <w:r w:rsidRPr="00FB6ADA">
        <w:rPr>
          <w:rFonts w:ascii="Arial" w:hAnsi="Arial" w:cs="Arial"/>
        </w:rPr>
        <w:t>закредитованностью</w:t>
      </w:r>
      <w:proofErr w:type="spellEnd"/>
      <w:r w:rsidRPr="00FB6ADA">
        <w:rPr>
          <w:rFonts w:ascii="Arial" w:hAnsi="Arial" w:cs="Arial"/>
        </w:rPr>
        <w:t xml:space="preserve"> населения.</w:t>
      </w:r>
    </w:p>
    <w:p w:rsidR="004643BE" w:rsidRPr="00FB6ADA" w:rsidRDefault="004643BE" w:rsidP="004643BE">
      <w:pPr>
        <w:ind w:firstLine="709"/>
        <w:jc w:val="both"/>
        <w:rPr>
          <w:rFonts w:ascii="Arial" w:hAnsi="Arial" w:cs="Arial"/>
        </w:rPr>
      </w:pPr>
      <w:r w:rsidRPr="00FB6ADA">
        <w:rPr>
          <w:rFonts w:ascii="Arial" w:hAnsi="Arial" w:cs="Arial"/>
        </w:rPr>
        <w:t>Объем продаж: по информации профессиональных участников рынка недвижимости, объем продаж по отношению к периоду годом ранее (в докризисный период),  снизился, что объясняется также сложной экономической ситуацией  в стране.</w:t>
      </w:r>
    </w:p>
    <w:p w:rsidR="002D1E4F" w:rsidRDefault="0089534D" w:rsidP="0089534D">
      <w:pPr>
        <w:ind w:firstLine="709"/>
        <w:jc w:val="center"/>
        <w:rPr>
          <w:rFonts w:ascii="Arial" w:hAnsi="Arial" w:cs="Arial"/>
          <w:b/>
          <w:color w:val="000000"/>
          <w:shd w:val="clear" w:color="auto" w:fill="FFFFFF"/>
        </w:rPr>
      </w:pPr>
      <w:r>
        <w:rPr>
          <w:rFonts w:ascii="Arial" w:hAnsi="Arial" w:cs="Arial"/>
          <w:b/>
          <w:color w:val="000000"/>
          <w:shd w:val="clear" w:color="auto" w:fill="FFFFFF"/>
        </w:rPr>
        <w:lastRenderedPageBreak/>
        <w:t>О</w:t>
      </w:r>
      <w:r w:rsidRPr="0089534D">
        <w:rPr>
          <w:rFonts w:ascii="Arial" w:hAnsi="Arial" w:cs="Arial"/>
          <w:b/>
          <w:color w:val="000000"/>
          <w:shd w:val="clear" w:color="auto" w:fill="FFFFFF"/>
        </w:rPr>
        <w:t>сновные экономические проекты, стройки</w:t>
      </w:r>
    </w:p>
    <w:p w:rsidR="0089534D" w:rsidRDefault="0089534D" w:rsidP="0089534D">
      <w:pPr>
        <w:ind w:firstLine="709"/>
        <w:jc w:val="center"/>
        <w:rPr>
          <w:rFonts w:ascii="Arial" w:hAnsi="Arial" w:cs="Arial"/>
          <w:b/>
          <w:color w:val="000000"/>
          <w:shd w:val="clear" w:color="auto" w:fill="FFFFFF"/>
        </w:rPr>
      </w:pPr>
      <w:r>
        <w:rPr>
          <w:rFonts w:ascii="Arial" w:hAnsi="Arial" w:cs="Arial"/>
          <w:b/>
          <w:color w:val="000000"/>
          <w:shd w:val="clear" w:color="auto" w:fill="FFFFFF"/>
        </w:rPr>
        <w:t>В</w:t>
      </w:r>
      <w:r w:rsidRPr="0089534D">
        <w:rPr>
          <w:rFonts w:ascii="Arial" w:hAnsi="Arial" w:cs="Arial"/>
          <w:b/>
          <w:color w:val="000000"/>
          <w:shd w:val="clear" w:color="auto" w:fill="FFFFFF"/>
        </w:rPr>
        <w:t>ыводы о перспективе экономического развития региона (перспективе роста доходов бизнеса и населения в свете их влияния на рынок недвижимости)</w:t>
      </w:r>
    </w:p>
    <w:p w:rsidR="009A34B3" w:rsidRDefault="009A34B3" w:rsidP="009A34B3">
      <w:pPr>
        <w:ind w:firstLine="709"/>
        <w:jc w:val="both"/>
        <w:rPr>
          <w:rFonts w:ascii="Arial" w:hAnsi="Arial" w:cs="Arial"/>
          <w:color w:val="000000"/>
          <w:shd w:val="clear" w:color="auto" w:fill="FFFFFF"/>
        </w:rPr>
      </w:pPr>
      <w:r w:rsidRPr="009A34B3">
        <w:rPr>
          <w:rFonts w:ascii="Arial" w:hAnsi="Arial" w:cs="Arial"/>
          <w:color w:val="000000"/>
          <w:shd w:val="clear" w:color="auto" w:fill="FFFFFF"/>
        </w:rPr>
        <w:t xml:space="preserve">В </w:t>
      </w:r>
      <w:r>
        <w:rPr>
          <w:rFonts w:ascii="Arial" w:hAnsi="Arial" w:cs="Arial"/>
          <w:color w:val="000000"/>
          <w:shd w:val="clear" w:color="auto" w:fill="FFFFFF"/>
        </w:rPr>
        <w:t>настоящее время на территории Республики Калмыкия нет крупных строек. Крупные компании, такие как Каспийский Трубопроводный Консорциум и нефтяная компания «Лукойл» завершили строительство своих объектов на территории республики и в ближайшее время будут заниматься только их эксплуатацией. Строительство новых крупных производств ими не планируется.</w:t>
      </w:r>
    </w:p>
    <w:p w:rsidR="009A34B3" w:rsidRDefault="009A34B3" w:rsidP="009A34B3">
      <w:pPr>
        <w:ind w:firstLine="709"/>
        <w:jc w:val="both"/>
        <w:rPr>
          <w:rFonts w:ascii="Arial" w:hAnsi="Arial" w:cs="Arial"/>
          <w:color w:val="000000"/>
          <w:shd w:val="clear" w:color="auto" w:fill="FFFFFF"/>
        </w:rPr>
      </w:pPr>
      <w:r>
        <w:rPr>
          <w:rFonts w:ascii="Arial" w:hAnsi="Arial" w:cs="Arial"/>
          <w:color w:val="000000"/>
          <w:shd w:val="clear" w:color="auto" w:fill="FFFFFF"/>
        </w:rPr>
        <w:t xml:space="preserve">Реализация других крупных объектов на территории республики: строительство мясоперерабатывающего комбината </w:t>
      </w:r>
      <w:r w:rsidR="007310E4">
        <w:rPr>
          <w:rFonts w:ascii="Arial" w:hAnsi="Arial" w:cs="Arial"/>
          <w:color w:val="000000"/>
          <w:shd w:val="clear" w:color="auto" w:fill="FFFFFF"/>
        </w:rPr>
        <w:t xml:space="preserve">«БИФ АРТ», птицефабрики в </w:t>
      </w:r>
      <w:proofErr w:type="spellStart"/>
      <w:r w:rsidR="007310E4">
        <w:rPr>
          <w:rFonts w:ascii="Arial" w:hAnsi="Arial" w:cs="Arial"/>
          <w:color w:val="000000"/>
          <w:shd w:val="clear" w:color="auto" w:fill="FFFFFF"/>
        </w:rPr>
        <w:t>Городиковском</w:t>
      </w:r>
      <w:proofErr w:type="spellEnd"/>
      <w:r w:rsidR="007310E4">
        <w:rPr>
          <w:rFonts w:ascii="Arial" w:hAnsi="Arial" w:cs="Arial"/>
          <w:color w:val="000000"/>
          <w:shd w:val="clear" w:color="auto" w:fill="FFFFFF"/>
        </w:rPr>
        <w:t xml:space="preserve"> районе, кирпичных заводов, комбикормового завода, создание парка </w:t>
      </w:r>
      <w:proofErr w:type="spellStart"/>
      <w:r w:rsidR="007310E4">
        <w:rPr>
          <w:rFonts w:ascii="Arial" w:hAnsi="Arial" w:cs="Arial"/>
          <w:color w:val="000000"/>
          <w:shd w:val="clear" w:color="auto" w:fill="FFFFFF"/>
        </w:rPr>
        <w:t>ветроустановок</w:t>
      </w:r>
      <w:proofErr w:type="spellEnd"/>
      <w:r w:rsidR="007310E4">
        <w:rPr>
          <w:rFonts w:ascii="Arial" w:hAnsi="Arial" w:cs="Arial"/>
          <w:color w:val="000000"/>
          <w:shd w:val="clear" w:color="auto" w:fill="FFFFFF"/>
        </w:rPr>
        <w:t xml:space="preserve"> для производства электроэнергии и многих других объектов, не ведется в связи с различными причинами.</w:t>
      </w:r>
    </w:p>
    <w:p w:rsidR="007310E4" w:rsidRDefault="007310E4" w:rsidP="009A34B3">
      <w:pPr>
        <w:ind w:firstLine="709"/>
        <w:jc w:val="both"/>
        <w:rPr>
          <w:rFonts w:ascii="Arial" w:hAnsi="Arial" w:cs="Arial"/>
          <w:color w:val="000000"/>
          <w:shd w:val="clear" w:color="auto" w:fill="FFFFFF"/>
        </w:rPr>
      </w:pPr>
      <w:r>
        <w:rPr>
          <w:rFonts w:ascii="Arial" w:hAnsi="Arial" w:cs="Arial"/>
          <w:color w:val="000000"/>
          <w:shd w:val="clear" w:color="auto" w:fill="FFFFFF"/>
        </w:rPr>
        <w:t>Основные источники дохода в республике: бюджетные средства, выплаты из бюджета (пенсии, стипендии и т.д.), доходы от сельского хозяйства, отчисления от деятельности крупных нефтяных компаний. Прогноз по экономическому развитию республики – негативный, улучшения ситуации в ближайшее время не предвидится.</w:t>
      </w:r>
    </w:p>
    <w:p w:rsidR="007310E4" w:rsidRPr="009A34B3" w:rsidRDefault="007310E4" w:rsidP="009A34B3">
      <w:pPr>
        <w:ind w:firstLine="709"/>
        <w:jc w:val="both"/>
        <w:rPr>
          <w:rFonts w:ascii="Arial" w:hAnsi="Arial" w:cs="Arial"/>
        </w:rPr>
      </w:pPr>
      <w:r>
        <w:rPr>
          <w:rFonts w:ascii="Arial" w:hAnsi="Arial" w:cs="Arial"/>
          <w:b/>
          <w:color w:val="000000"/>
          <w:shd w:val="clear" w:color="auto" w:fill="FFFFFF"/>
        </w:rPr>
        <w:t>Особенности развития рынка жилой недвижимости г.Элиста</w:t>
      </w:r>
    </w:p>
    <w:p w:rsidR="00FD57FB" w:rsidRPr="00FB6ADA" w:rsidRDefault="007310E4" w:rsidP="009A34B3">
      <w:pPr>
        <w:ind w:firstLine="708"/>
        <w:jc w:val="both"/>
        <w:rPr>
          <w:rFonts w:ascii="Arial" w:hAnsi="Arial" w:cs="Arial"/>
          <w:shd w:val="clear" w:color="auto" w:fill="FFFFFF"/>
        </w:rPr>
      </w:pPr>
      <w:r>
        <w:rPr>
          <w:rFonts w:ascii="Arial" w:hAnsi="Arial" w:cs="Arial"/>
          <w:shd w:val="clear" w:color="auto" w:fill="FFFFFF"/>
        </w:rPr>
        <w:t>Не</w:t>
      </w:r>
      <w:r w:rsidR="00FD57FB" w:rsidRPr="00FB6ADA">
        <w:rPr>
          <w:rFonts w:ascii="Arial" w:hAnsi="Arial" w:cs="Arial"/>
          <w:shd w:val="clear" w:color="auto" w:fill="FFFFFF"/>
        </w:rPr>
        <w:t>смотря на немногочисленность по российским меркам, всего 104 тысячи человек</w:t>
      </w:r>
      <w:r w:rsidR="00B86EA2" w:rsidRPr="00FB6ADA">
        <w:rPr>
          <w:rFonts w:ascii="Arial" w:hAnsi="Arial" w:cs="Arial"/>
          <w:shd w:val="clear" w:color="auto" w:fill="FFFFFF"/>
        </w:rPr>
        <w:t xml:space="preserve"> </w:t>
      </w:r>
      <w:r w:rsidR="00FD57FB" w:rsidRPr="00FB6ADA">
        <w:rPr>
          <w:rFonts w:ascii="Arial" w:hAnsi="Arial" w:cs="Arial"/>
          <w:b/>
          <w:bCs/>
          <w:shd w:val="clear" w:color="auto" w:fill="FFFFFF"/>
        </w:rPr>
        <w:t>Элиста</w:t>
      </w:r>
      <w:r w:rsidR="00FD57FB" w:rsidRPr="00FB6ADA">
        <w:rPr>
          <w:rStyle w:val="apple-converted-space"/>
          <w:rFonts w:ascii="Arial" w:hAnsi="Arial" w:cs="Arial"/>
          <w:color w:val="000000"/>
          <w:shd w:val="clear" w:color="auto" w:fill="FFFFFF"/>
        </w:rPr>
        <w:t> </w:t>
      </w:r>
      <w:r w:rsidR="00FD57FB" w:rsidRPr="00FB6ADA">
        <w:rPr>
          <w:rFonts w:ascii="Arial" w:hAnsi="Arial" w:cs="Arial"/>
          <w:shd w:val="clear" w:color="auto" w:fill="FFFFFF"/>
        </w:rPr>
        <w:t>является крупным республикански</w:t>
      </w:r>
      <w:r w:rsidR="009A34B3">
        <w:rPr>
          <w:rFonts w:ascii="Arial" w:hAnsi="Arial" w:cs="Arial"/>
          <w:shd w:val="clear" w:color="auto" w:fill="FFFFFF"/>
        </w:rPr>
        <w:t>м культурным и научным центром и рынок недвижимости здесь имеет свои особенности.</w:t>
      </w:r>
    </w:p>
    <w:p w:rsidR="00FD57FB" w:rsidRPr="00FB6ADA" w:rsidRDefault="00FD57FB" w:rsidP="00FD57FB">
      <w:pPr>
        <w:pStyle w:val="afd"/>
        <w:shd w:val="clear" w:color="auto" w:fill="FFFFFF"/>
        <w:spacing w:before="75" w:beforeAutospacing="0" w:after="75" w:afterAutospacing="0"/>
        <w:jc w:val="both"/>
        <w:rPr>
          <w:rFonts w:ascii="Arial" w:hAnsi="Arial" w:cs="Arial"/>
          <w:color w:val="000000"/>
        </w:rPr>
      </w:pPr>
      <w:r w:rsidRPr="00FB6ADA">
        <w:rPr>
          <w:rFonts w:ascii="Arial" w:hAnsi="Arial" w:cs="Arial"/>
          <w:b/>
          <w:bCs/>
          <w:color w:val="000000"/>
        </w:rPr>
        <w:t>Во-первых</w:t>
      </w:r>
      <w:r w:rsidRPr="00FB6ADA">
        <w:rPr>
          <w:rFonts w:ascii="Arial" w:hAnsi="Arial" w:cs="Arial"/>
          <w:color w:val="000000"/>
        </w:rPr>
        <w:t xml:space="preserve">, </w:t>
      </w:r>
      <w:r w:rsidR="00FB1246">
        <w:rPr>
          <w:rFonts w:ascii="Arial" w:hAnsi="Arial" w:cs="Arial"/>
          <w:color w:val="000000"/>
        </w:rPr>
        <w:t>возможен</w:t>
      </w:r>
      <w:r w:rsidRPr="00FB6ADA">
        <w:rPr>
          <w:rFonts w:ascii="Arial" w:hAnsi="Arial" w:cs="Arial"/>
          <w:color w:val="000000"/>
        </w:rPr>
        <w:t xml:space="preserve"> подъём цен. </w:t>
      </w:r>
      <w:r w:rsidR="00FB1246">
        <w:rPr>
          <w:rFonts w:ascii="Arial" w:hAnsi="Arial" w:cs="Arial"/>
          <w:color w:val="000000"/>
        </w:rPr>
        <w:t>Самый к</w:t>
      </w:r>
      <w:r w:rsidRPr="00FB6ADA">
        <w:rPr>
          <w:rFonts w:ascii="Arial" w:hAnsi="Arial" w:cs="Arial"/>
          <w:color w:val="000000"/>
        </w:rPr>
        <w:t>рупны</w:t>
      </w:r>
      <w:r w:rsidR="00FB1246">
        <w:rPr>
          <w:rFonts w:ascii="Arial" w:hAnsi="Arial" w:cs="Arial"/>
          <w:color w:val="000000"/>
        </w:rPr>
        <w:t>й</w:t>
      </w:r>
      <w:r w:rsidRPr="00FB6ADA">
        <w:rPr>
          <w:rFonts w:ascii="Arial" w:hAnsi="Arial" w:cs="Arial"/>
          <w:color w:val="000000"/>
        </w:rPr>
        <w:t xml:space="preserve"> </w:t>
      </w:r>
      <w:r w:rsidR="00FB1246">
        <w:rPr>
          <w:rFonts w:ascii="Arial" w:hAnsi="Arial" w:cs="Arial"/>
          <w:color w:val="000000"/>
        </w:rPr>
        <w:t>застройщик – ООО «</w:t>
      </w:r>
      <w:proofErr w:type="spellStart"/>
      <w:r w:rsidR="00FB1246">
        <w:rPr>
          <w:rFonts w:ascii="Arial" w:hAnsi="Arial" w:cs="Arial"/>
          <w:color w:val="000000"/>
        </w:rPr>
        <w:t>Бетонинвест</w:t>
      </w:r>
      <w:proofErr w:type="spellEnd"/>
      <w:r w:rsidR="00FB1246">
        <w:rPr>
          <w:rFonts w:ascii="Arial" w:hAnsi="Arial" w:cs="Arial"/>
          <w:color w:val="000000"/>
        </w:rPr>
        <w:t>»</w:t>
      </w:r>
      <w:r w:rsidRPr="00FB6ADA">
        <w:rPr>
          <w:rFonts w:ascii="Arial" w:hAnsi="Arial" w:cs="Arial"/>
          <w:color w:val="000000"/>
        </w:rPr>
        <w:t xml:space="preserve"> </w:t>
      </w:r>
      <w:r w:rsidR="00FB1246">
        <w:rPr>
          <w:rFonts w:ascii="Arial" w:hAnsi="Arial" w:cs="Arial"/>
          <w:color w:val="000000"/>
        </w:rPr>
        <w:t>испытывает серьезные финансовые трудности</w:t>
      </w:r>
      <w:r w:rsidR="009A34B3">
        <w:rPr>
          <w:rFonts w:ascii="Arial" w:hAnsi="Arial" w:cs="Arial"/>
          <w:color w:val="000000"/>
        </w:rPr>
        <w:t xml:space="preserve"> и практически свернул строительство</w:t>
      </w:r>
      <w:r w:rsidRPr="00FB6ADA">
        <w:rPr>
          <w:rFonts w:ascii="Arial" w:hAnsi="Arial" w:cs="Arial"/>
          <w:color w:val="000000"/>
        </w:rPr>
        <w:t xml:space="preserve">. Новых игроков, которые могли бы сколько-нибудь серьёзно повлиять на развитие ситуации с недвижимостью, пока не наблюдается и скорее </w:t>
      </w:r>
      <w:r w:rsidR="00FB1246">
        <w:rPr>
          <w:rFonts w:ascii="Arial" w:hAnsi="Arial" w:cs="Arial"/>
          <w:color w:val="000000"/>
        </w:rPr>
        <w:t>в ближайшее время не появится</w:t>
      </w:r>
      <w:r w:rsidRPr="00FB6ADA">
        <w:rPr>
          <w:rFonts w:ascii="Arial" w:hAnsi="Arial" w:cs="Arial"/>
          <w:color w:val="000000"/>
        </w:rPr>
        <w:t>, потому, что рынок недвижимости Элисты весьма ограничен покупат</w:t>
      </w:r>
      <w:r w:rsidR="00FB1246">
        <w:rPr>
          <w:rFonts w:ascii="Arial" w:hAnsi="Arial" w:cs="Arial"/>
          <w:color w:val="000000"/>
        </w:rPr>
        <w:t>ельской способностью населения.</w:t>
      </w:r>
    </w:p>
    <w:p w:rsidR="00FD57FB" w:rsidRPr="00FB6ADA" w:rsidRDefault="00FD57FB" w:rsidP="00FD57FB">
      <w:pPr>
        <w:pStyle w:val="afd"/>
        <w:shd w:val="clear" w:color="auto" w:fill="FFFFFF"/>
        <w:spacing w:before="75" w:beforeAutospacing="0" w:after="75" w:afterAutospacing="0"/>
        <w:jc w:val="both"/>
        <w:rPr>
          <w:rFonts w:ascii="Arial" w:hAnsi="Arial" w:cs="Arial"/>
          <w:color w:val="000000"/>
        </w:rPr>
      </w:pPr>
      <w:r w:rsidRPr="00FB6ADA">
        <w:rPr>
          <w:rFonts w:ascii="Arial" w:hAnsi="Arial" w:cs="Arial"/>
          <w:b/>
          <w:bCs/>
          <w:color w:val="000000"/>
        </w:rPr>
        <w:t>Во-вторых</w:t>
      </w:r>
      <w:r w:rsidRPr="00FB6ADA">
        <w:rPr>
          <w:rFonts w:ascii="Arial" w:hAnsi="Arial" w:cs="Arial"/>
          <w:color w:val="000000"/>
        </w:rPr>
        <w:t xml:space="preserve">, наблюдается постепенная стабилизация рынка. </w:t>
      </w:r>
      <w:r w:rsidR="00FB1246">
        <w:rPr>
          <w:rFonts w:ascii="Arial" w:hAnsi="Arial" w:cs="Arial"/>
          <w:color w:val="000000"/>
        </w:rPr>
        <w:t>Строительство новых жилых домов практически прекратилось, идет завершение уже начатых строительством домов</w:t>
      </w:r>
      <w:r w:rsidRPr="00FB6ADA">
        <w:rPr>
          <w:rFonts w:ascii="Arial" w:hAnsi="Arial" w:cs="Arial"/>
          <w:color w:val="000000"/>
        </w:rPr>
        <w:t>.</w:t>
      </w:r>
      <w:r w:rsidR="009A34B3">
        <w:rPr>
          <w:rFonts w:ascii="Arial" w:hAnsi="Arial" w:cs="Arial"/>
          <w:color w:val="000000"/>
        </w:rPr>
        <w:t xml:space="preserve"> В перспективе можно ожидать дефицита жилой недвижимости и увеличения ее стоимости.</w:t>
      </w:r>
    </w:p>
    <w:p w:rsidR="00FD57FB" w:rsidRPr="00FB6ADA" w:rsidRDefault="00FD57FB" w:rsidP="00FD57FB">
      <w:pPr>
        <w:pStyle w:val="afd"/>
        <w:shd w:val="clear" w:color="auto" w:fill="FFFFFF"/>
        <w:spacing w:before="75" w:beforeAutospacing="0" w:after="75" w:afterAutospacing="0"/>
        <w:jc w:val="both"/>
        <w:rPr>
          <w:rFonts w:ascii="Arial" w:hAnsi="Arial" w:cs="Arial"/>
          <w:color w:val="000000"/>
        </w:rPr>
      </w:pPr>
      <w:r w:rsidRPr="00FB6ADA">
        <w:rPr>
          <w:rFonts w:ascii="Arial" w:hAnsi="Arial" w:cs="Arial"/>
          <w:b/>
          <w:bCs/>
          <w:color w:val="000000"/>
        </w:rPr>
        <w:t>В-третьих</w:t>
      </w:r>
      <w:r w:rsidRPr="00FB6ADA">
        <w:rPr>
          <w:rFonts w:ascii="Arial" w:hAnsi="Arial" w:cs="Arial"/>
          <w:color w:val="000000"/>
        </w:rPr>
        <w:t>, рынок недвижимости Элисты обладает некоторой особенностью относительно других городов России. Выражается это в том, что</w:t>
      </w:r>
      <w:r w:rsidRPr="00FB6ADA">
        <w:rPr>
          <w:rStyle w:val="apple-converted-space"/>
          <w:rFonts w:ascii="Arial" w:hAnsi="Arial" w:cs="Arial"/>
          <w:color w:val="000000"/>
        </w:rPr>
        <w:t> </w:t>
      </w:r>
      <w:r w:rsidRPr="00FB1246">
        <w:rPr>
          <w:rFonts w:ascii="Arial" w:hAnsi="Arial" w:cs="Arial"/>
        </w:rPr>
        <w:t>новостройки</w:t>
      </w:r>
      <w:r w:rsidRPr="00FB6ADA">
        <w:rPr>
          <w:rStyle w:val="apple-converted-space"/>
          <w:rFonts w:ascii="Arial" w:hAnsi="Arial" w:cs="Arial"/>
          <w:color w:val="000000"/>
        </w:rPr>
        <w:t> </w:t>
      </w:r>
      <w:r w:rsidRPr="00FB6ADA">
        <w:rPr>
          <w:rFonts w:ascii="Arial" w:hAnsi="Arial" w:cs="Arial"/>
          <w:color w:val="000000"/>
        </w:rPr>
        <w:t>стоят дороже, чем</w:t>
      </w:r>
      <w:r w:rsidR="00FB1246">
        <w:rPr>
          <w:rFonts w:ascii="Arial" w:hAnsi="Arial" w:cs="Arial"/>
          <w:color w:val="000000"/>
        </w:rPr>
        <w:t xml:space="preserve"> </w:t>
      </w:r>
      <w:r w:rsidRPr="00FB1246">
        <w:rPr>
          <w:rFonts w:ascii="Arial" w:hAnsi="Arial" w:cs="Arial"/>
        </w:rPr>
        <w:t>вторичный рынок</w:t>
      </w:r>
      <w:r w:rsidRPr="00FB6ADA">
        <w:rPr>
          <w:rFonts w:ascii="Arial" w:hAnsi="Arial" w:cs="Arial"/>
          <w:color w:val="000000"/>
        </w:rPr>
        <w:t xml:space="preserve">. И это несмотря на </w:t>
      </w:r>
      <w:proofErr w:type="spellStart"/>
      <w:r w:rsidRPr="00FB6ADA">
        <w:rPr>
          <w:rFonts w:ascii="Arial" w:hAnsi="Arial" w:cs="Arial"/>
          <w:color w:val="000000"/>
        </w:rPr>
        <w:t>предчистовую</w:t>
      </w:r>
      <w:proofErr w:type="spellEnd"/>
      <w:r w:rsidRPr="00FB6ADA">
        <w:rPr>
          <w:rFonts w:ascii="Arial" w:hAnsi="Arial" w:cs="Arial"/>
          <w:color w:val="000000"/>
        </w:rPr>
        <w:t xml:space="preserve"> отделку новостроек. Объяснить это можно лишь тем, что в городе наблюдается дефицит и дорогого</w:t>
      </w:r>
      <w:r w:rsidRPr="00FB6ADA">
        <w:rPr>
          <w:rStyle w:val="apple-converted-space"/>
          <w:rFonts w:ascii="Arial" w:hAnsi="Arial" w:cs="Arial"/>
          <w:color w:val="000000"/>
        </w:rPr>
        <w:t> </w:t>
      </w:r>
      <w:r w:rsidRPr="00FB1246">
        <w:rPr>
          <w:rFonts w:ascii="Arial" w:hAnsi="Arial" w:cs="Arial"/>
        </w:rPr>
        <w:t>элитного жилья</w:t>
      </w:r>
      <w:r w:rsidRPr="00FB6ADA">
        <w:rPr>
          <w:rFonts w:ascii="Arial" w:hAnsi="Arial" w:cs="Arial"/>
          <w:color w:val="000000"/>
        </w:rPr>
        <w:t>. Люди готовы переплачивать за новостройки не смотря на то, что в купленные квадратные метры придётся еще немало вкладывать. Это подтверждается тем фактом, что квартиры в новостройках, на самых престижных средних этажах раскупаются уже на первых этапах строительства. Несмотря на определенный риск, люди идут на это.</w:t>
      </w:r>
    </w:p>
    <w:p w:rsidR="00FD57FB" w:rsidRPr="00FB6ADA" w:rsidRDefault="00FD57FB" w:rsidP="00FD57FB">
      <w:pPr>
        <w:pStyle w:val="afd"/>
        <w:shd w:val="clear" w:color="auto" w:fill="FFFFFF"/>
        <w:spacing w:before="75" w:beforeAutospacing="0" w:after="75" w:afterAutospacing="0"/>
        <w:jc w:val="both"/>
        <w:rPr>
          <w:rFonts w:ascii="Arial" w:hAnsi="Arial" w:cs="Arial"/>
          <w:color w:val="000000"/>
        </w:rPr>
      </w:pPr>
      <w:r w:rsidRPr="00FB6ADA">
        <w:rPr>
          <w:rFonts w:ascii="Arial" w:hAnsi="Arial" w:cs="Arial"/>
          <w:b/>
          <w:bCs/>
          <w:color w:val="000000"/>
        </w:rPr>
        <w:t>Основными покупателями</w:t>
      </w:r>
      <w:r w:rsidRPr="00FB6ADA">
        <w:rPr>
          <w:rStyle w:val="apple-converted-space"/>
          <w:rFonts w:ascii="Arial" w:hAnsi="Arial" w:cs="Arial"/>
          <w:color w:val="000000"/>
        </w:rPr>
        <w:t> </w:t>
      </w:r>
      <w:r w:rsidRPr="00FB6ADA">
        <w:rPr>
          <w:rFonts w:ascii="Arial" w:hAnsi="Arial" w:cs="Arial"/>
          <w:color w:val="000000"/>
        </w:rPr>
        <w:t>рынка недвижимости являются</w:t>
      </w:r>
      <w:r w:rsidR="009A34B3">
        <w:rPr>
          <w:rFonts w:ascii="Arial" w:hAnsi="Arial" w:cs="Arial"/>
          <w:color w:val="000000"/>
        </w:rPr>
        <w:t xml:space="preserve"> </w:t>
      </w:r>
      <w:r w:rsidRPr="00FB6ADA">
        <w:rPr>
          <w:rFonts w:ascii="Arial" w:hAnsi="Arial" w:cs="Arial"/>
          <w:color w:val="000000"/>
        </w:rPr>
        <w:t xml:space="preserve">местные предприниматели и труженики, работающие </w:t>
      </w:r>
      <w:r w:rsidR="00FB1246">
        <w:rPr>
          <w:rFonts w:ascii="Arial" w:hAnsi="Arial" w:cs="Arial"/>
          <w:color w:val="000000"/>
        </w:rPr>
        <w:t>за пределами республики</w:t>
      </w:r>
      <w:r w:rsidRPr="00FB6ADA">
        <w:rPr>
          <w:rFonts w:ascii="Arial" w:hAnsi="Arial" w:cs="Arial"/>
          <w:color w:val="000000"/>
        </w:rPr>
        <w:t>. Поскольку эти категории людей составляют небольшой процент населения, то нетрудно заметить, что активность риелторов и покупательская способность населения не очень высока. Есть еще одна категория людей, которые покупают недвижимость. Это те, кто либо разменивает своё жильё, либо продаёт старое и покупает квартиру с увеличенной площадью.</w:t>
      </w:r>
    </w:p>
    <w:p w:rsidR="00FD57FB" w:rsidRPr="00FB6ADA" w:rsidRDefault="00FD57FB" w:rsidP="00FD57FB">
      <w:pPr>
        <w:pStyle w:val="afd"/>
        <w:shd w:val="clear" w:color="auto" w:fill="FFFFFF"/>
        <w:spacing w:before="75" w:beforeAutospacing="0" w:after="75" w:afterAutospacing="0"/>
        <w:jc w:val="both"/>
        <w:rPr>
          <w:rFonts w:ascii="Arial" w:hAnsi="Arial" w:cs="Arial"/>
          <w:color w:val="000000"/>
        </w:rPr>
      </w:pPr>
      <w:r w:rsidRPr="00FB6ADA">
        <w:rPr>
          <w:rFonts w:ascii="Arial" w:hAnsi="Arial" w:cs="Arial"/>
          <w:color w:val="000000"/>
        </w:rPr>
        <w:lastRenderedPageBreak/>
        <w:t>Остальные,</w:t>
      </w:r>
      <w:r w:rsidRPr="00FB6ADA">
        <w:rPr>
          <w:rStyle w:val="apple-converted-space"/>
          <w:rFonts w:ascii="Arial" w:hAnsi="Arial" w:cs="Arial"/>
          <w:color w:val="000000"/>
        </w:rPr>
        <w:t> </w:t>
      </w:r>
      <w:r w:rsidRPr="00FB6ADA">
        <w:rPr>
          <w:rFonts w:ascii="Arial" w:hAnsi="Arial" w:cs="Arial"/>
          <w:b/>
          <w:bCs/>
          <w:color w:val="000000"/>
        </w:rPr>
        <w:t>кому не посчастливилось</w:t>
      </w:r>
      <w:r w:rsidRPr="00FB6ADA">
        <w:rPr>
          <w:rStyle w:val="apple-converted-space"/>
          <w:rFonts w:ascii="Arial" w:hAnsi="Arial" w:cs="Arial"/>
          <w:color w:val="000000"/>
        </w:rPr>
        <w:t> </w:t>
      </w:r>
      <w:r w:rsidRPr="00FB6ADA">
        <w:rPr>
          <w:rFonts w:ascii="Arial" w:hAnsi="Arial" w:cs="Arial"/>
          <w:color w:val="000000"/>
        </w:rPr>
        <w:t>попасть в первые три катего</w:t>
      </w:r>
      <w:r w:rsidR="00131AA6">
        <w:rPr>
          <w:rFonts w:ascii="Arial" w:hAnsi="Arial" w:cs="Arial"/>
          <w:color w:val="000000"/>
        </w:rPr>
        <w:t>рии, вынуждены брать ипотеку не</w:t>
      </w:r>
      <w:r w:rsidRPr="00FB6ADA">
        <w:rPr>
          <w:rFonts w:ascii="Arial" w:hAnsi="Arial" w:cs="Arial"/>
          <w:color w:val="000000"/>
        </w:rPr>
        <w:t>смотря на высокие проценты, потому что других вариантов приобрести свою крышу над головой о</w:t>
      </w:r>
      <w:bookmarkStart w:id="0" w:name="_GoBack"/>
      <w:bookmarkEnd w:id="0"/>
      <w:r w:rsidRPr="00FB6ADA">
        <w:rPr>
          <w:rFonts w:ascii="Arial" w:hAnsi="Arial" w:cs="Arial"/>
          <w:color w:val="000000"/>
        </w:rPr>
        <w:t>ни не видят.</w:t>
      </w:r>
    </w:p>
    <w:p w:rsidR="00FD57FB" w:rsidRPr="0089534D" w:rsidRDefault="00FD57FB" w:rsidP="0089534D">
      <w:pPr>
        <w:pStyle w:val="afd"/>
        <w:shd w:val="clear" w:color="auto" w:fill="FFFFFF"/>
        <w:spacing w:before="75" w:beforeAutospacing="0" w:after="75" w:afterAutospacing="0"/>
        <w:jc w:val="both"/>
        <w:rPr>
          <w:rFonts w:ascii="Arial" w:hAnsi="Arial" w:cs="Arial"/>
          <w:color w:val="000000"/>
        </w:rPr>
      </w:pPr>
      <w:r w:rsidRPr="00FB6ADA">
        <w:rPr>
          <w:rFonts w:ascii="Arial" w:hAnsi="Arial" w:cs="Arial"/>
          <w:color w:val="000000"/>
        </w:rPr>
        <w:t>Наиболее популярным продуктом на рынке недвижимости оказались однокомнатные и двухкомнатные квартиры. Связано это, прежде всего с бюджетной ценой</w:t>
      </w:r>
      <w:r w:rsidR="00FB1246">
        <w:rPr>
          <w:rFonts w:ascii="Arial" w:hAnsi="Arial" w:cs="Arial"/>
          <w:color w:val="000000"/>
        </w:rPr>
        <w:t>.</w:t>
      </w:r>
    </w:p>
    <w:sectPr w:rsidR="00FD57FB" w:rsidRPr="0089534D" w:rsidSect="001604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BDF" w:rsidRDefault="00DA0BDF" w:rsidP="00D06CB8">
      <w:r>
        <w:separator/>
      </w:r>
    </w:p>
  </w:endnote>
  <w:endnote w:type="continuationSeparator" w:id="0">
    <w:p w:rsidR="00DA0BDF" w:rsidRDefault="00DA0BDF" w:rsidP="00D0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BDF" w:rsidRDefault="00DA0BDF" w:rsidP="00D06CB8">
      <w:r>
        <w:separator/>
      </w:r>
    </w:p>
  </w:footnote>
  <w:footnote w:type="continuationSeparator" w:id="0">
    <w:p w:rsidR="00DA0BDF" w:rsidRDefault="00DA0BDF" w:rsidP="00D06CB8">
      <w:r>
        <w:continuationSeparator/>
      </w:r>
    </w:p>
  </w:footnote>
  <w:footnote w:id="1">
    <w:p w:rsidR="009A34B3" w:rsidRDefault="009A34B3" w:rsidP="00162FCF">
      <w:pPr>
        <w:pStyle w:val="a4"/>
      </w:pPr>
      <w:r>
        <w:rPr>
          <w:rStyle w:val="a6"/>
        </w:rPr>
        <w:t>"</w:t>
      </w:r>
      <w:r>
        <w:t xml:space="preserve"> Статистический ежегодник «Республика Калмыкия 2017», Управление Федеральной службы государственной статистики по Астраханской области и Республике Калмыкия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35243"/>
    <w:multiLevelType w:val="hybridMultilevel"/>
    <w:tmpl w:val="75327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formatting="1" w:enforcement="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06CB8"/>
    <w:rsid w:val="0000167D"/>
    <w:rsid w:val="00010975"/>
    <w:rsid w:val="00010B4A"/>
    <w:rsid w:val="00026053"/>
    <w:rsid w:val="00036C63"/>
    <w:rsid w:val="00040F41"/>
    <w:rsid w:val="00042542"/>
    <w:rsid w:val="00043520"/>
    <w:rsid w:val="00054DE8"/>
    <w:rsid w:val="00061A43"/>
    <w:rsid w:val="00064D0F"/>
    <w:rsid w:val="00083392"/>
    <w:rsid w:val="00092979"/>
    <w:rsid w:val="000931D2"/>
    <w:rsid w:val="000A10AD"/>
    <w:rsid w:val="000A3B44"/>
    <w:rsid w:val="000C278A"/>
    <w:rsid w:val="000C54B6"/>
    <w:rsid w:val="000C5AB4"/>
    <w:rsid w:val="000E2859"/>
    <w:rsid w:val="000F2142"/>
    <w:rsid w:val="00100C87"/>
    <w:rsid w:val="0010237B"/>
    <w:rsid w:val="00114E0B"/>
    <w:rsid w:val="00122BD3"/>
    <w:rsid w:val="00126DE8"/>
    <w:rsid w:val="00131AA6"/>
    <w:rsid w:val="001416BA"/>
    <w:rsid w:val="00151D7B"/>
    <w:rsid w:val="00152F86"/>
    <w:rsid w:val="0016047E"/>
    <w:rsid w:val="001614C0"/>
    <w:rsid w:val="001626D4"/>
    <w:rsid w:val="00162FCF"/>
    <w:rsid w:val="00171266"/>
    <w:rsid w:val="00175F03"/>
    <w:rsid w:val="00180894"/>
    <w:rsid w:val="00194770"/>
    <w:rsid w:val="001953BE"/>
    <w:rsid w:val="001A0DDC"/>
    <w:rsid w:val="001D6FF2"/>
    <w:rsid w:val="001E2E10"/>
    <w:rsid w:val="0020494A"/>
    <w:rsid w:val="00204CB3"/>
    <w:rsid w:val="0022053B"/>
    <w:rsid w:val="00225215"/>
    <w:rsid w:val="00226290"/>
    <w:rsid w:val="0023694D"/>
    <w:rsid w:val="0024360A"/>
    <w:rsid w:val="00244170"/>
    <w:rsid w:val="00250A15"/>
    <w:rsid w:val="00257D55"/>
    <w:rsid w:val="00262FB2"/>
    <w:rsid w:val="002724A1"/>
    <w:rsid w:val="0027421A"/>
    <w:rsid w:val="00287605"/>
    <w:rsid w:val="00287DDF"/>
    <w:rsid w:val="00296811"/>
    <w:rsid w:val="002A1C23"/>
    <w:rsid w:val="002A56E1"/>
    <w:rsid w:val="002D1E4F"/>
    <w:rsid w:val="002D1E9F"/>
    <w:rsid w:val="002E4D02"/>
    <w:rsid w:val="002F626B"/>
    <w:rsid w:val="003007EC"/>
    <w:rsid w:val="003146B1"/>
    <w:rsid w:val="00321DAE"/>
    <w:rsid w:val="00330404"/>
    <w:rsid w:val="003465E8"/>
    <w:rsid w:val="00347325"/>
    <w:rsid w:val="0035714C"/>
    <w:rsid w:val="00360F98"/>
    <w:rsid w:val="00384998"/>
    <w:rsid w:val="00385E1F"/>
    <w:rsid w:val="00386691"/>
    <w:rsid w:val="003A133B"/>
    <w:rsid w:val="003A45BF"/>
    <w:rsid w:val="003A6E30"/>
    <w:rsid w:val="003B3C94"/>
    <w:rsid w:val="003B3E08"/>
    <w:rsid w:val="003D0E85"/>
    <w:rsid w:val="003D53B9"/>
    <w:rsid w:val="003F535E"/>
    <w:rsid w:val="00426F70"/>
    <w:rsid w:val="004317E8"/>
    <w:rsid w:val="00432021"/>
    <w:rsid w:val="00432E11"/>
    <w:rsid w:val="00440C76"/>
    <w:rsid w:val="004439DC"/>
    <w:rsid w:val="00444E16"/>
    <w:rsid w:val="00446952"/>
    <w:rsid w:val="004643BE"/>
    <w:rsid w:val="00487975"/>
    <w:rsid w:val="00497175"/>
    <w:rsid w:val="004A4F09"/>
    <w:rsid w:val="004B0921"/>
    <w:rsid w:val="004D32E6"/>
    <w:rsid w:val="004D52AE"/>
    <w:rsid w:val="004E7442"/>
    <w:rsid w:val="005006BA"/>
    <w:rsid w:val="00525D0F"/>
    <w:rsid w:val="00532F5C"/>
    <w:rsid w:val="00536204"/>
    <w:rsid w:val="005408F5"/>
    <w:rsid w:val="00547498"/>
    <w:rsid w:val="0055176E"/>
    <w:rsid w:val="00553033"/>
    <w:rsid w:val="005533D5"/>
    <w:rsid w:val="005577DC"/>
    <w:rsid w:val="00564943"/>
    <w:rsid w:val="00573E44"/>
    <w:rsid w:val="00574E3F"/>
    <w:rsid w:val="00594B6E"/>
    <w:rsid w:val="005A0B0E"/>
    <w:rsid w:val="005A573D"/>
    <w:rsid w:val="005A7642"/>
    <w:rsid w:val="005B582D"/>
    <w:rsid w:val="005E31AA"/>
    <w:rsid w:val="005E5A29"/>
    <w:rsid w:val="005E68E3"/>
    <w:rsid w:val="005F0265"/>
    <w:rsid w:val="005F5ABC"/>
    <w:rsid w:val="0061300E"/>
    <w:rsid w:val="006340C2"/>
    <w:rsid w:val="006346B2"/>
    <w:rsid w:val="00634B9C"/>
    <w:rsid w:val="006475AC"/>
    <w:rsid w:val="006479EF"/>
    <w:rsid w:val="00647F9C"/>
    <w:rsid w:val="00657B4E"/>
    <w:rsid w:val="00661195"/>
    <w:rsid w:val="00664E7C"/>
    <w:rsid w:val="00673A93"/>
    <w:rsid w:val="00677E63"/>
    <w:rsid w:val="00681252"/>
    <w:rsid w:val="00681804"/>
    <w:rsid w:val="00687811"/>
    <w:rsid w:val="00691C6E"/>
    <w:rsid w:val="006936E0"/>
    <w:rsid w:val="006B3E43"/>
    <w:rsid w:val="006C3FD7"/>
    <w:rsid w:val="006D03F4"/>
    <w:rsid w:val="00703797"/>
    <w:rsid w:val="00705DE7"/>
    <w:rsid w:val="007177FA"/>
    <w:rsid w:val="007310E4"/>
    <w:rsid w:val="00731500"/>
    <w:rsid w:val="007344E9"/>
    <w:rsid w:val="007367F0"/>
    <w:rsid w:val="00746776"/>
    <w:rsid w:val="0077311F"/>
    <w:rsid w:val="007739D4"/>
    <w:rsid w:val="007819F3"/>
    <w:rsid w:val="00783ED0"/>
    <w:rsid w:val="007A1EA6"/>
    <w:rsid w:val="007A636D"/>
    <w:rsid w:val="007A6D40"/>
    <w:rsid w:val="007B7B32"/>
    <w:rsid w:val="007C0E23"/>
    <w:rsid w:val="007C3F8D"/>
    <w:rsid w:val="007C52BF"/>
    <w:rsid w:val="007D1B88"/>
    <w:rsid w:val="007E11A5"/>
    <w:rsid w:val="007F0595"/>
    <w:rsid w:val="00805D83"/>
    <w:rsid w:val="0081352B"/>
    <w:rsid w:val="0081534E"/>
    <w:rsid w:val="00822055"/>
    <w:rsid w:val="00834249"/>
    <w:rsid w:val="00835352"/>
    <w:rsid w:val="008479AF"/>
    <w:rsid w:val="0085145F"/>
    <w:rsid w:val="008558F9"/>
    <w:rsid w:val="00856BCD"/>
    <w:rsid w:val="00870A7E"/>
    <w:rsid w:val="0087638A"/>
    <w:rsid w:val="008778DB"/>
    <w:rsid w:val="00884B18"/>
    <w:rsid w:val="00892393"/>
    <w:rsid w:val="0089534D"/>
    <w:rsid w:val="008967BE"/>
    <w:rsid w:val="008977D1"/>
    <w:rsid w:val="008A0238"/>
    <w:rsid w:val="008A4D7B"/>
    <w:rsid w:val="008B1DDE"/>
    <w:rsid w:val="008B4F9D"/>
    <w:rsid w:val="008B5251"/>
    <w:rsid w:val="008B7FE3"/>
    <w:rsid w:val="008C0E43"/>
    <w:rsid w:val="008C7573"/>
    <w:rsid w:val="008D0F24"/>
    <w:rsid w:val="008D49A3"/>
    <w:rsid w:val="008E58C3"/>
    <w:rsid w:val="008F74DE"/>
    <w:rsid w:val="00903694"/>
    <w:rsid w:val="009169BA"/>
    <w:rsid w:val="009251A9"/>
    <w:rsid w:val="0093188D"/>
    <w:rsid w:val="009327AB"/>
    <w:rsid w:val="00950AE9"/>
    <w:rsid w:val="00955D8B"/>
    <w:rsid w:val="00970EDE"/>
    <w:rsid w:val="0097392E"/>
    <w:rsid w:val="009840AF"/>
    <w:rsid w:val="009846AC"/>
    <w:rsid w:val="009A34B3"/>
    <w:rsid w:val="009B7FA4"/>
    <w:rsid w:val="009E0E89"/>
    <w:rsid w:val="009E30B6"/>
    <w:rsid w:val="009F190E"/>
    <w:rsid w:val="009F40A2"/>
    <w:rsid w:val="00A0089D"/>
    <w:rsid w:val="00A0513B"/>
    <w:rsid w:val="00A10963"/>
    <w:rsid w:val="00A1476E"/>
    <w:rsid w:val="00A2705D"/>
    <w:rsid w:val="00A44821"/>
    <w:rsid w:val="00A45721"/>
    <w:rsid w:val="00A555BD"/>
    <w:rsid w:val="00A57642"/>
    <w:rsid w:val="00A6484B"/>
    <w:rsid w:val="00AA59B3"/>
    <w:rsid w:val="00AB0E1F"/>
    <w:rsid w:val="00AC08E9"/>
    <w:rsid w:val="00AC2A5C"/>
    <w:rsid w:val="00AC7B0D"/>
    <w:rsid w:val="00AF6C45"/>
    <w:rsid w:val="00B00FF2"/>
    <w:rsid w:val="00B14967"/>
    <w:rsid w:val="00B3341F"/>
    <w:rsid w:val="00B33D45"/>
    <w:rsid w:val="00B37E7F"/>
    <w:rsid w:val="00B43185"/>
    <w:rsid w:val="00B463E0"/>
    <w:rsid w:val="00B86EA2"/>
    <w:rsid w:val="00B94940"/>
    <w:rsid w:val="00BA2316"/>
    <w:rsid w:val="00BB52AE"/>
    <w:rsid w:val="00BB71FF"/>
    <w:rsid w:val="00BD5388"/>
    <w:rsid w:val="00BF78B8"/>
    <w:rsid w:val="00C108EF"/>
    <w:rsid w:val="00C11DE4"/>
    <w:rsid w:val="00C15454"/>
    <w:rsid w:val="00C20C6B"/>
    <w:rsid w:val="00C232A0"/>
    <w:rsid w:val="00C33EE1"/>
    <w:rsid w:val="00C3606F"/>
    <w:rsid w:val="00C37817"/>
    <w:rsid w:val="00C4215E"/>
    <w:rsid w:val="00C45709"/>
    <w:rsid w:val="00C6671E"/>
    <w:rsid w:val="00C7007C"/>
    <w:rsid w:val="00C71606"/>
    <w:rsid w:val="00C75DB8"/>
    <w:rsid w:val="00C83E8A"/>
    <w:rsid w:val="00C9555E"/>
    <w:rsid w:val="00C96196"/>
    <w:rsid w:val="00C9634C"/>
    <w:rsid w:val="00C97854"/>
    <w:rsid w:val="00CC1B3D"/>
    <w:rsid w:val="00CD0698"/>
    <w:rsid w:val="00CD74AA"/>
    <w:rsid w:val="00D0330B"/>
    <w:rsid w:val="00D06456"/>
    <w:rsid w:val="00D06CB8"/>
    <w:rsid w:val="00D46ABB"/>
    <w:rsid w:val="00D90668"/>
    <w:rsid w:val="00D930CD"/>
    <w:rsid w:val="00D95F30"/>
    <w:rsid w:val="00DA0BDF"/>
    <w:rsid w:val="00DE196B"/>
    <w:rsid w:val="00DE2F1E"/>
    <w:rsid w:val="00DE5E7F"/>
    <w:rsid w:val="00DF0FA6"/>
    <w:rsid w:val="00DF4A8B"/>
    <w:rsid w:val="00E01641"/>
    <w:rsid w:val="00E15D4E"/>
    <w:rsid w:val="00E24AD1"/>
    <w:rsid w:val="00E258FC"/>
    <w:rsid w:val="00E30645"/>
    <w:rsid w:val="00E35F1B"/>
    <w:rsid w:val="00E435BD"/>
    <w:rsid w:val="00E45E64"/>
    <w:rsid w:val="00E477B4"/>
    <w:rsid w:val="00E55CF7"/>
    <w:rsid w:val="00E65C3C"/>
    <w:rsid w:val="00E65CEC"/>
    <w:rsid w:val="00E73C3E"/>
    <w:rsid w:val="00E76BFA"/>
    <w:rsid w:val="00E90F2B"/>
    <w:rsid w:val="00EA15B1"/>
    <w:rsid w:val="00EA24D9"/>
    <w:rsid w:val="00EA2A58"/>
    <w:rsid w:val="00EA3DE8"/>
    <w:rsid w:val="00EA6580"/>
    <w:rsid w:val="00EA6BF7"/>
    <w:rsid w:val="00EB7046"/>
    <w:rsid w:val="00EC1AD6"/>
    <w:rsid w:val="00EC28A4"/>
    <w:rsid w:val="00ED3532"/>
    <w:rsid w:val="00EE000B"/>
    <w:rsid w:val="00EE29B5"/>
    <w:rsid w:val="00EF0974"/>
    <w:rsid w:val="00F10BB7"/>
    <w:rsid w:val="00F21882"/>
    <w:rsid w:val="00F22619"/>
    <w:rsid w:val="00F25D11"/>
    <w:rsid w:val="00F26334"/>
    <w:rsid w:val="00F27E7A"/>
    <w:rsid w:val="00F35A2B"/>
    <w:rsid w:val="00F372C8"/>
    <w:rsid w:val="00F4774C"/>
    <w:rsid w:val="00F535FE"/>
    <w:rsid w:val="00F53950"/>
    <w:rsid w:val="00F67228"/>
    <w:rsid w:val="00F7377D"/>
    <w:rsid w:val="00F873D9"/>
    <w:rsid w:val="00FA00FA"/>
    <w:rsid w:val="00FB1246"/>
    <w:rsid w:val="00FB6ADA"/>
    <w:rsid w:val="00FC0673"/>
    <w:rsid w:val="00FC2982"/>
    <w:rsid w:val="00FC7922"/>
    <w:rsid w:val="00FD082E"/>
    <w:rsid w:val="00FD44FA"/>
    <w:rsid w:val="00FD57FB"/>
    <w:rsid w:val="00FE2497"/>
    <w:rsid w:val="00FE69FA"/>
    <w:rsid w:val="00FF4B0C"/>
    <w:rsid w:val="00FF51B4"/>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F945C"/>
  <w15:docId w15:val="{0FB22689-1024-4001-ADF6-5198F327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CB8"/>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FD57F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6CB8"/>
    <w:rPr>
      <w:color w:val="0000FF"/>
      <w:u w:val="single"/>
    </w:rPr>
  </w:style>
  <w:style w:type="paragraph" w:styleId="a4">
    <w:name w:val="footnote text"/>
    <w:aliases w:val="Текст сноски Знак2,Текст сноски Знак1 Знак,Текст сноски Знак Знак Знак,Текст сноски Знак Знак1,Текст сноски Знак Знак,Текст сноски Знак2 Знак Знак,Текст сноски Знак1 Знак Знак Знак,Текст сноски Знак Знак Знак Знак Знак,Текст сноски Знак1"/>
    <w:basedOn w:val="a"/>
    <w:link w:val="a5"/>
    <w:semiHidden/>
    <w:rsid w:val="00D06CB8"/>
    <w:rPr>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2 Знак Знак Знак,Текст сноски Знак1 Знак Знак Знак Знак"/>
    <w:basedOn w:val="a0"/>
    <w:link w:val="a4"/>
    <w:semiHidden/>
    <w:rsid w:val="00D06CB8"/>
    <w:rPr>
      <w:rFonts w:ascii="Times New Roman" w:eastAsia="Times New Roman" w:hAnsi="Times New Roman" w:cs="Times New Roman"/>
      <w:sz w:val="20"/>
      <w:szCs w:val="20"/>
      <w:lang w:eastAsia="ru-RU"/>
    </w:rPr>
  </w:style>
  <w:style w:type="character" w:styleId="a6">
    <w:name w:val="footnote reference"/>
    <w:semiHidden/>
    <w:rsid w:val="00D06CB8"/>
    <w:rPr>
      <w:vertAlign w:val="superscript"/>
    </w:rPr>
  </w:style>
  <w:style w:type="paragraph" w:styleId="a7">
    <w:name w:val="footer"/>
    <w:basedOn w:val="a"/>
    <w:link w:val="a8"/>
    <w:uiPriority w:val="99"/>
    <w:rsid w:val="00D06CB8"/>
    <w:pPr>
      <w:tabs>
        <w:tab w:val="center" w:pos="4677"/>
        <w:tab w:val="right" w:pos="9355"/>
      </w:tabs>
    </w:pPr>
  </w:style>
  <w:style w:type="character" w:customStyle="1" w:styleId="a8">
    <w:name w:val="Нижний колонтитул Знак"/>
    <w:basedOn w:val="a0"/>
    <w:link w:val="a7"/>
    <w:uiPriority w:val="99"/>
    <w:rsid w:val="00D06CB8"/>
    <w:rPr>
      <w:rFonts w:ascii="Times New Roman" w:eastAsia="Times New Roman" w:hAnsi="Times New Roman" w:cs="Times New Roman"/>
      <w:sz w:val="24"/>
      <w:szCs w:val="24"/>
    </w:rPr>
  </w:style>
  <w:style w:type="character" w:styleId="a9">
    <w:name w:val="page number"/>
    <w:basedOn w:val="a0"/>
    <w:rsid w:val="00D06CB8"/>
  </w:style>
  <w:style w:type="paragraph" w:styleId="aa">
    <w:name w:val="header"/>
    <w:basedOn w:val="a"/>
    <w:link w:val="ab"/>
    <w:rsid w:val="00D06CB8"/>
    <w:pPr>
      <w:tabs>
        <w:tab w:val="center" w:pos="4677"/>
        <w:tab w:val="right" w:pos="9355"/>
      </w:tabs>
    </w:pPr>
  </w:style>
  <w:style w:type="character" w:customStyle="1" w:styleId="ab">
    <w:name w:val="Верхний колонтитул Знак"/>
    <w:basedOn w:val="a0"/>
    <w:link w:val="aa"/>
    <w:rsid w:val="00D06CB8"/>
    <w:rPr>
      <w:rFonts w:ascii="Times New Roman" w:eastAsia="Times New Roman" w:hAnsi="Times New Roman" w:cs="Times New Roman"/>
      <w:sz w:val="24"/>
      <w:szCs w:val="24"/>
      <w:lang w:eastAsia="ru-RU"/>
    </w:rPr>
  </w:style>
  <w:style w:type="paragraph" w:styleId="ac">
    <w:name w:val="caption"/>
    <w:basedOn w:val="a"/>
    <w:next w:val="a"/>
    <w:qFormat/>
    <w:rsid w:val="00D06CB8"/>
    <w:rPr>
      <w:b/>
      <w:bCs/>
      <w:sz w:val="20"/>
      <w:szCs w:val="20"/>
    </w:rPr>
  </w:style>
  <w:style w:type="paragraph" w:customStyle="1" w:styleId="ad">
    <w:name w:val="Знак Знак Знак Знак Знак Знак Знак"/>
    <w:basedOn w:val="a"/>
    <w:rsid w:val="00D06CB8"/>
    <w:pPr>
      <w:spacing w:after="160" w:line="240" w:lineRule="exact"/>
    </w:pPr>
    <w:rPr>
      <w:rFonts w:ascii="Verdana" w:hAnsi="Verdana"/>
      <w:sz w:val="20"/>
      <w:szCs w:val="20"/>
      <w:lang w:val="en-US" w:eastAsia="en-US"/>
    </w:rPr>
  </w:style>
  <w:style w:type="table" w:styleId="ae">
    <w:name w:val="Table Grid"/>
    <w:basedOn w:val="a1"/>
    <w:rsid w:val="00D06C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endnote text"/>
    <w:basedOn w:val="a"/>
    <w:link w:val="af0"/>
    <w:rsid w:val="00D06CB8"/>
    <w:rPr>
      <w:sz w:val="20"/>
      <w:szCs w:val="20"/>
    </w:rPr>
  </w:style>
  <w:style w:type="character" w:customStyle="1" w:styleId="af0">
    <w:name w:val="Текст концевой сноски Знак"/>
    <w:basedOn w:val="a0"/>
    <w:link w:val="af"/>
    <w:rsid w:val="00D06CB8"/>
    <w:rPr>
      <w:rFonts w:ascii="Times New Roman" w:eastAsia="Times New Roman" w:hAnsi="Times New Roman" w:cs="Times New Roman"/>
      <w:sz w:val="20"/>
      <w:szCs w:val="20"/>
      <w:lang w:eastAsia="ru-RU"/>
    </w:rPr>
  </w:style>
  <w:style w:type="character" w:styleId="af1">
    <w:name w:val="endnote reference"/>
    <w:rsid w:val="00D06CB8"/>
    <w:rPr>
      <w:vertAlign w:val="superscript"/>
    </w:rPr>
  </w:style>
  <w:style w:type="paragraph" w:styleId="af2">
    <w:name w:val="Balloon Text"/>
    <w:basedOn w:val="a"/>
    <w:link w:val="af3"/>
    <w:rsid w:val="00D06CB8"/>
    <w:rPr>
      <w:rFonts w:ascii="Tahoma" w:hAnsi="Tahoma"/>
      <w:sz w:val="16"/>
      <w:szCs w:val="16"/>
    </w:rPr>
  </w:style>
  <w:style w:type="character" w:customStyle="1" w:styleId="af3">
    <w:name w:val="Текст выноски Знак"/>
    <w:basedOn w:val="a0"/>
    <w:link w:val="af2"/>
    <w:rsid w:val="00D06CB8"/>
    <w:rPr>
      <w:rFonts w:ascii="Tahoma" w:eastAsia="Times New Roman" w:hAnsi="Tahoma" w:cs="Times New Roman"/>
      <w:sz w:val="16"/>
      <w:szCs w:val="16"/>
    </w:rPr>
  </w:style>
  <w:style w:type="paragraph" w:styleId="af4">
    <w:name w:val="List Paragraph"/>
    <w:basedOn w:val="a"/>
    <w:uiPriority w:val="34"/>
    <w:qFormat/>
    <w:rsid w:val="005577DC"/>
    <w:pPr>
      <w:spacing w:after="200" w:line="276" w:lineRule="auto"/>
      <w:ind w:left="720" w:firstLine="567"/>
      <w:contextualSpacing/>
      <w:jc w:val="both"/>
    </w:pPr>
    <w:rPr>
      <w:rFonts w:ascii="Calibri" w:hAnsi="Calibri"/>
      <w:sz w:val="22"/>
      <w:szCs w:val="22"/>
    </w:rPr>
  </w:style>
  <w:style w:type="paragraph" w:styleId="21">
    <w:name w:val="Body Text Indent 2"/>
    <w:basedOn w:val="a"/>
    <w:link w:val="22"/>
    <w:rsid w:val="005577DC"/>
    <w:pPr>
      <w:spacing w:after="120" w:line="480" w:lineRule="auto"/>
      <w:ind w:left="283"/>
    </w:pPr>
    <w:rPr>
      <w:sz w:val="28"/>
      <w:szCs w:val="28"/>
    </w:rPr>
  </w:style>
  <w:style w:type="character" w:customStyle="1" w:styleId="22">
    <w:name w:val="Основной текст с отступом 2 Знак"/>
    <w:basedOn w:val="a0"/>
    <w:link w:val="21"/>
    <w:rsid w:val="005577DC"/>
    <w:rPr>
      <w:rFonts w:ascii="Times New Roman" w:eastAsia="Times New Roman" w:hAnsi="Times New Roman" w:cs="Times New Roman"/>
      <w:sz w:val="28"/>
      <w:szCs w:val="28"/>
      <w:lang w:eastAsia="ru-RU"/>
    </w:rPr>
  </w:style>
  <w:style w:type="character" w:styleId="af5">
    <w:name w:val="annotation reference"/>
    <w:basedOn w:val="a0"/>
    <w:uiPriority w:val="99"/>
    <w:semiHidden/>
    <w:unhideWhenUsed/>
    <w:rsid w:val="00C75DB8"/>
    <w:rPr>
      <w:sz w:val="16"/>
      <w:szCs w:val="16"/>
    </w:rPr>
  </w:style>
  <w:style w:type="paragraph" w:styleId="af6">
    <w:name w:val="annotation text"/>
    <w:basedOn w:val="a"/>
    <w:link w:val="af7"/>
    <w:uiPriority w:val="99"/>
    <w:semiHidden/>
    <w:unhideWhenUsed/>
    <w:rsid w:val="00C75DB8"/>
    <w:rPr>
      <w:sz w:val="20"/>
      <w:szCs w:val="20"/>
    </w:rPr>
  </w:style>
  <w:style w:type="character" w:customStyle="1" w:styleId="af7">
    <w:name w:val="Текст примечания Знак"/>
    <w:basedOn w:val="a0"/>
    <w:link w:val="af6"/>
    <w:uiPriority w:val="99"/>
    <w:semiHidden/>
    <w:rsid w:val="00C75DB8"/>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75DB8"/>
    <w:rPr>
      <w:b/>
      <w:bCs/>
    </w:rPr>
  </w:style>
  <w:style w:type="character" w:customStyle="1" w:styleId="af9">
    <w:name w:val="Тема примечания Знак"/>
    <w:basedOn w:val="af7"/>
    <w:link w:val="af8"/>
    <w:uiPriority w:val="99"/>
    <w:semiHidden/>
    <w:rsid w:val="00C75DB8"/>
    <w:rPr>
      <w:rFonts w:ascii="Times New Roman" w:eastAsia="Times New Roman" w:hAnsi="Times New Roman" w:cs="Times New Roman"/>
      <w:b/>
      <w:bCs/>
      <w:sz w:val="20"/>
      <w:szCs w:val="20"/>
      <w:lang w:eastAsia="ru-RU"/>
    </w:rPr>
  </w:style>
  <w:style w:type="table" w:customStyle="1" w:styleId="1">
    <w:name w:val="Стиль1"/>
    <w:basedOn w:val="a1"/>
    <w:uiPriority w:val="99"/>
    <w:rsid w:val="00042542"/>
    <w:pPr>
      <w:spacing w:after="0" w:line="240" w:lineRule="auto"/>
      <w:jc w:val="center"/>
    </w:pPr>
    <w:rPr>
      <w:rFonts w:ascii="Times New Roman" w:hAnsi="Times New Roman"/>
      <w:sz w:val="18"/>
    </w:rPr>
    <w:tblPr>
      <w:tblStyleRowBandSize w:val="1"/>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Pr>
    <w:tcPr>
      <w:shd w:val="clear" w:color="auto" w:fill="95B3D7" w:themeFill="accent1" w:themeFillTint="99"/>
      <w:vAlign w:val="center"/>
    </w:tcPr>
  </w:style>
  <w:style w:type="table" w:styleId="-1">
    <w:name w:val="Colorful Shading Accent 1"/>
    <w:basedOn w:val="a1"/>
    <w:uiPriority w:val="71"/>
    <w:rsid w:val="0016047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0">
    <w:name w:val="Colorful Grid Accent 1"/>
    <w:basedOn w:val="a1"/>
    <w:uiPriority w:val="73"/>
    <w:rsid w:val="001604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11">
    <w:name w:val="Средняя заливка 1 - Акцент 11"/>
    <w:basedOn w:val="a1"/>
    <w:uiPriority w:val="63"/>
    <w:rsid w:val="0016047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1">
    <w:name w:val="Светлая сетка - Акцент 11"/>
    <w:basedOn w:val="a1"/>
    <w:uiPriority w:val="62"/>
    <w:rsid w:val="001604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5">
    <w:name w:val="Light List Accent 5"/>
    <w:basedOn w:val="a1"/>
    <w:uiPriority w:val="61"/>
    <w:rsid w:val="0016047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1">
    <w:name w:val="Medium Grid 2 Accent 1"/>
    <w:basedOn w:val="a1"/>
    <w:uiPriority w:val="68"/>
    <w:rsid w:val="00FC298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1">
    <w:name w:val="Medium Grid 1 Accent 1"/>
    <w:basedOn w:val="a1"/>
    <w:uiPriority w:val="67"/>
    <w:rsid w:val="00FC298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110">
    <w:name w:val="Средний список 1 - Акцент 11"/>
    <w:basedOn w:val="a1"/>
    <w:uiPriority w:val="65"/>
    <w:rsid w:val="00FC298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CharChar">
    <w:name w:val="Char Знак Знак Char Знак Знак Знак Знак Знак Знак Знак Знак Знак Знак Знак Знак Знак Знак Знак Знак"/>
    <w:basedOn w:val="a"/>
    <w:rsid w:val="00C108EF"/>
    <w:rPr>
      <w:rFonts w:ascii="Verdana" w:hAnsi="Verdana" w:cs="Verdana"/>
      <w:sz w:val="20"/>
      <w:szCs w:val="20"/>
      <w:lang w:val="en-US" w:eastAsia="en-US"/>
    </w:rPr>
  </w:style>
  <w:style w:type="paragraph" w:styleId="afa">
    <w:name w:val="Body Text Indent"/>
    <w:basedOn w:val="a"/>
    <w:link w:val="afb"/>
    <w:rsid w:val="00C108EF"/>
    <w:pPr>
      <w:spacing w:after="120"/>
      <w:ind w:left="283"/>
    </w:pPr>
    <w:rPr>
      <w:sz w:val="28"/>
      <w:szCs w:val="28"/>
    </w:rPr>
  </w:style>
  <w:style w:type="character" w:customStyle="1" w:styleId="afb">
    <w:name w:val="Основной текст с отступом Знак"/>
    <w:basedOn w:val="a0"/>
    <w:link w:val="afa"/>
    <w:rsid w:val="00C108EF"/>
    <w:rPr>
      <w:rFonts w:ascii="Times New Roman" w:eastAsia="Times New Roman" w:hAnsi="Times New Roman" w:cs="Times New Roman"/>
      <w:sz w:val="28"/>
      <w:szCs w:val="28"/>
      <w:lang w:eastAsia="ru-RU"/>
    </w:rPr>
  </w:style>
  <w:style w:type="character" w:styleId="afc">
    <w:name w:val="Strong"/>
    <w:basedOn w:val="a0"/>
    <w:uiPriority w:val="22"/>
    <w:qFormat/>
    <w:rsid w:val="00D0330B"/>
    <w:rPr>
      <w:b/>
      <w:bCs/>
    </w:rPr>
  </w:style>
  <w:style w:type="paragraph" w:styleId="afd">
    <w:name w:val="Normal (Web)"/>
    <w:basedOn w:val="a"/>
    <w:link w:val="afe"/>
    <w:uiPriority w:val="99"/>
    <w:unhideWhenUsed/>
    <w:rsid w:val="00657B4E"/>
    <w:pPr>
      <w:spacing w:before="100" w:beforeAutospacing="1" w:after="100" w:afterAutospacing="1"/>
    </w:pPr>
  </w:style>
  <w:style w:type="character" w:customStyle="1" w:styleId="afe">
    <w:name w:val="Обычный (веб) Знак"/>
    <w:link w:val="afd"/>
    <w:uiPriority w:val="99"/>
    <w:rsid w:val="00657B4E"/>
    <w:rPr>
      <w:rFonts w:ascii="Times New Roman" w:eastAsia="Times New Roman" w:hAnsi="Times New Roman" w:cs="Times New Roman"/>
      <w:sz w:val="24"/>
      <w:szCs w:val="24"/>
      <w:lang w:eastAsia="ru-RU"/>
    </w:rPr>
  </w:style>
  <w:style w:type="paragraph" w:styleId="aff">
    <w:name w:val="Title"/>
    <w:basedOn w:val="a"/>
    <w:link w:val="aff0"/>
    <w:qFormat/>
    <w:rsid w:val="0023694D"/>
    <w:pPr>
      <w:jc w:val="center"/>
    </w:pPr>
    <w:rPr>
      <w:rFonts w:ascii="Times New Roman CYR" w:hAnsi="Times New Roman CYR"/>
      <w:b/>
      <w:sz w:val="28"/>
      <w:szCs w:val="20"/>
    </w:rPr>
  </w:style>
  <w:style w:type="character" w:customStyle="1" w:styleId="aff0">
    <w:name w:val="Заголовок Знак"/>
    <w:basedOn w:val="a0"/>
    <w:link w:val="aff"/>
    <w:rsid w:val="0023694D"/>
    <w:rPr>
      <w:rFonts w:ascii="Times New Roman CYR" w:eastAsia="Times New Roman" w:hAnsi="Times New Roman CYR" w:cs="Times New Roman"/>
      <w:b/>
      <w:sz w:val="28"/>
      <w:szCs w:val="20"/>
      <w:lang w:eastAsia="ru-RU"/>
    </w:rPr>
  </w:style>
  <w:style w:type="paragraph" w:styleId="aff1">
    <w:name w:val="Subtitle"/>
    <w:basedOn w:val="a"/>
    <w:link w:val="aff2"/>
    <w:qFormat/>
    <w:rsid w:val="0023694D"/>
    <w:rPr>
      <w:rFonts w:ascii="Times New Roman CYR" w:hAnsi="Times New Roman CYR"/>
      <w:b/>
      <w:color w:val="FF0000"/>
      <w:sz w:val="28"/>
      <w:szCs w:val="20"/>
    </w:rPr>
  </w:style>
  <w:style w:type="character" w:customStyle="1" w:styleId="aff2">
    <w:name w:val="Подзаголовок Знак"/>
    <w:basedOn w:val="a0"/>
    <w:link w:val="aff1"/>
    <w:rsid w:val="0023694D"/>
    <w:rPr>
      <w:rFonts w:ascii="Times New Roman CYR" w:eastAsia="Times New Roman" w:hAnsi="Times New Roman CYR" w:cs="Times New Roman"/>
      <w:b/>
      <w:color w:val="FF0000"/>
      <w:sz w:val="28"/>
      <w:szCs w:val="20"/>
      <w:lang w:eastAsia="ru-RU"/>
    </w:rPr>
  </w:style>
  <w:style w:type="table" w:customStyle="1" w:styleId="-">
    <w:name w:val="Аудит-Консалтинг"/>
    <w:basedOn w:val="a1"/>
    <w:uiPriority w:val="99"/>
    <w:rsid w:val="004D52AE"/>
    <w:pPr>
      <w:spacing w:after="0" w:line="240" w:lineRule="auto"/>
    </w:pPr>
    <w:rPr>
      <w:rFonts w:ascii="Times New Roman" w:hAnsi="Times New Roman"/>
      <w:color w:val="FFFFFF" w:themeColor="background1"/>
      <w:sz w:val="20"/>
    </w:rPr>
    <w:tblPr/>
    <w:tblStylePr w:type="firstRow">
      <w:rPr>
        <w:rFonts w:ascii="Times New Roman" w:hAnsi="Times New Roman"/>
        <w:b/>
        <w:color w:val="EEECE1" w:themeColor="background2"/>
        <w:sz w:val="20"/>
        <w:u w:val="none"/>
      </w:rPr>
      <w:tblPr/>
      <w:tcPr>
        <w:shd w:val="clear" w:color="auto" w:fill="365F91"/>
      </w:tcPr>
    </w:tblStylePr>
    <w:tblStylePr w:type="lastRow">
      <w:rPr>
        <w:rFonts w:ascii="Times New Roman" w:hAnsi="Times New Roman"/>
        <w:b/>
        <w:color w:val="FFFFFF" w:themeColor="background1"/>
        <w:sz w:val="20"/>
      </w:rPr>
      <w:tblPr/>
      <w:tcPr>
        <w:shd w:val="clear" w:color="auto" w:fill="00B0F0"/>
      </w:tcPr>
    </w:tblStylePr>
    <w:tblStylePr w:type="firstCol">
      <w:rPr>
        <w:rFonts w:ascii="Times New Roman" w:hAnsi="Times New Roman"/>
        <w:sz w:val="20"/>
      </w:rPr>
      <w:tblPr/>
      <w:tcPr>
        <w:shd w:val="clear" w:color="auto" w:fill="D9D9D9" w:themeFill="background1" w:themeFillShade="D9"/>
      </w:tcPr>
    </w:tblStylePr>
    <w:tblStylePr w:type="lastCol">
      <w:rPr>
        <w:rFonts w:ascii="Times New Roman" w:hAnsi="Times New Roman"/>
        <w:sz w:val="20"/>
      </w:rPr>
      <w:tblPr/>
      <w:tcPr>
        <w:shd w:val="clear" w:color="auto" w:fill="D9D9D9" w:themeFill="background1" w:themeFillShade="D9"/>
      </w:tcPr>
    </w:tblStylePr>
  </w:style>
  <w:style w:type="character" w:customStyle="1" w:styleId="apple-converted-space">
    <w:name w:val="apple-converted-space"/>
    <w:basedOn w:val="a0"/>
    <w:rsid w:val="00FD57FB"/>
  </w:style>
  <w:style w:type="character" w:customStyle="1" w:styleId="20">
    <w:name w:val="Заголовок 2 Знак"/>
    <w:basedOn w:val="a0"/>
    <w:link w:val="2"/>
    <w:uiPriority w:val="9"/>
    <w:rsid w:val="00FD57FB"/>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4392">
      <w:bodyDiv w:val="1"/>
      <w:marLeft w:val="0"/>
      <w:marRight w:val="0"/>
      <w:marTop w:val="0"/>
      <w:marBottom w:val="0"/>
      <w:divBdr>
        <w:top w:val="none" w:sz="0" w:space="0" w:color="auto"/>
        <w:left w:val="none" w:sz="0" w:space="0" w:color="auto"/>
        <w:bottom w:val="none" w:sz="0" w:space="0" w:color="auto"/>
        <w:right w:val="none" w:sz="0" w:space="0" w:color="auto"/>
      </w:divBdr>
      <w:divsChild>
        <w:div w:id="1892576781">
          <w:marLeft w:val="0"/>
          <w:marRight w:val="0"/>
          <w:marTop w:val="0"/>
          <w:marBottom w:val="0"/>
          <w:divBdr>
            <w:top w:val="none" w:sz="0" w:space="0" w:color="auto"/>
            <w:left w:val="none" w:sz="0" w:space="0" w:color="auto"/>
            <w:bottom w:val="none" w:sz="0" w:space="0" w:color="auto"/>
            <w:right w:val="none" w:sz="0" w:space="0" w:color="auto"/>
          </w:divBdr>
          <w:divsChild>
            <w:div w:id="972177772">
              <w:marLeft w:val="0"/>
              <w:marRight w:val="0"/>
              <w:marTop w:val="0"/>
              <w:marBottom w:val="0"/>
              <w:divBdr>
                <w:top w:val="none" w:sz="0" w:space="0" w:color="auto"/>
                <w:left w:val="none" w:sz="0" w:space="0" w:color="auto"/>
                <w:bottom w:val="none" w:sz="0" w:space="0" w:color="auto"/>
                <w:right w:val="none" w:sz="0" w:space="0" w:color="auto"/>
              </w:divBdr>
              <w:divsChild>
                <w:div w:id="1919972695">
                  <w:marLeft w:val="0"/>
                  <w:marRight w:val="0"/>
                  <w:marTop w:val="0"/>
                  <w:marBottom w:val="0"/>
                  <w:divBdr>
                    <w:top w:val="none" w:sz="0" w:space="0" w:color="auto"/>
                    <w:left w:val="none" w:sz="0" w:space="0" w:color="auto"/>
                    <w:bottom w:val="none" w:sz="0" w:space="0" w:color="auto"/>
                    <w:right w:val="none" w:sz="0" w:space="0" w:color="auto"/>
                  </w:divBdr>
                  <w:divsChild>
                    <w:div w:id="2041391910">
                      <w:marLeft w:val="0"/>
                      <w:marRight w:val="0"/>
                      <w:marTop w:val="0"/>
                      <w:marBottom w:val="0"/>
                      <w:divBdr>
                        <w:top w:val="none" w:sz="0" w:space="0" w:color="auto"/>
                        <w:left w:val="none" w:sz="0" w:space="0" w:color="auto"/>
                        <w:bottom w:val="none" w:sz="0" w:space="0" w:color="auto"/>
                        <w:right w:val="none" w:sz="0" w:space="0" w:color="auto"/>
                      </w:divBdr>
                      <w:divsChild>
                        <w:div w:id="5415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46038">
      <w:bodyDiv w:val="1"/>
      <w:marLeft w:val="0"/>
      <w:marRight w:val="0"/>
      <w:marTop w:val="0"/>
      <w:marBottom w:val="0"/>
      <w:divBdr>
        <w:top w:val="none" w:sz="0" w:space="0" w:color="auto"/>
        <w:left w:val="none" w:sz="0" w:space="0" w:color="auto"/>
        <w:bottom w:val="none" w:sz="0" w:space="0" w:color="auto"/>
        <w:right w:val="none" w:sz="0" w:space="0" w:color="auto"/>
      </w:divBdr>
    </w:div>
    <w:div w:id="152794471">
      <w:bodyDiv w:val="1"/>
      <w:marLeft w:val="0"/>
      <w:marRight w:val="0"/>
      <w:marTop w:val="0"/>
      <w:marBottom w:val="0"/>
      <w:divBdr>
        <w:top w:val="none" w:sz="0" w:space="0" w:color="auto"/>
        <w:left w:val="none" w:sz="0" w:space="0" w:color="auto"/>
        <w:bottom w:val="none" w:sz="0" w:space="0" w:color="auto"/>
        <w:right w:val="none" w:sz="0" w:space="0" w:color="auto"/>
      </w:divBdr>
    </w:div>
    <w:div w:id="924338948">
      <w:bodyDiv w:val="1"/>
      <w:marLeft w:val="0"/>
      <w:marRight w:val="0"/>
      <w:marTop w:val="0"/>
      <w:marBottom w:val="0"/>
      <w:divBdr>
        <w:top w:val="none" w:sz="0" w:space="0" w:color="auto"/>
        <w:left w:val="none" w:sz="0" w:space="0" w:color="auto"/>
        <w:bottom w:val="none" w:sz="0" w:space="0" w:color="auto"/>
        <w:right w:val="none" w:sz="0" w:space="0" w:color="auto"/>
      </w:divBdr>
    </w:div>
    <w:div w:id="983774445">
      <w:bodyDiv w:val="1"/>
      <w:marLeft w:val="0"/>
      <w:marRight w:val="0"/>
      <w:marTop w:val="0"/>
      <w:marBottom w:val="0"/>
      <w:divBdr>
        <w:top w:val="none" w:sz="0" w:space="0" w:color="auto"/>
        <w:left w:val="none" w:sz="0" w:space="0" w:color="auto"/>
        <w:bottom w:val="none" w:sz="0" w:space="0" w:color="auto"/>
        <w:right w:val="none" w:sz="0" w:space="0" w:color="auto"/>
      </w:divBdr>
      <w:divsChild>
        <w:div w:id="1818837685">
          <w:marLeft w:val="0"/>
          <w:marRight w:val="0"/>
          <w:marTop w:val="0"/>
          <w:marBottom w:val="0"/>
          <w:divBdr>
            <w:top w:val="none" w:sz="0" w:space="0" w:color="auto"/>
            <w:left w:val="none" w:sz="0" w:space="0" w:color="auto"/>
            <w:bottom w:val="none" w:sz="0" w:space="0" w:color="auto"/>
            <w:right w:val="none" w:sz="0" w:space="0" w:color="auto"/>
          </w:divBdr>
          <w:divsChild>
            <w:div w:id="1948004174">
              <w:marLeft w:val="0"/>
              <w:marRight w:val="0"/>
              <w:marTop w:val="0"/>
              <w:marBottom w:val="0"/>
              <w:divBdr>
                <w:top w:val="none" w:sz="0" w:space="0" w:color="auto"/>
                <w:left w:val="none" w:sz="0" w:space="0" w:color="auto"/>
                <w:bottom w:val="none" w:sz="0" w:space="0" w:color="auto"/>
                <w:right w:val="none" w:sz="0" w:space="0" w:color="auto"/>
              </w:divBdr>
              <w:divsChild>
                <w:div w:id="782270032">
                  <w:marLeft w:val="0"/>
                  <w:marRight w:val="0"/>
                  <w:marTop w:val="0"/>
                  <w:marBottom w:val="0"/>
                  <w:divBdr>
                    <w:top w:val="none" w:sz="0" w:space="0" w:color="auto"/>
                    <w:left w:val="none" w:sz="0" w:space="0" w:color="auto"/>
                    <w:bottom w:val="none" w:sz="0" w:space="0" w:color="auto"/>
                    <w:right w:val="none" w:sz="0" w:space="0" w:color="auto"/>
                  </w:divBdr>
                  <w:divsChild>
                    <w:div w:id="925069611">
                      <w:marLeft w:val="0"/>
                      <w:marRight w:val="0"/>
                      <w:marTop w:val="0"/>
                      <w:marBottom w:val="0"/>
                      <w:divBdr>
                        <w:top w:val="none" w:sz="0" w:space="0" w:color="auto"/>
                        <w:left w:val="none" w:sz="0" w:space="0" w:color="auto"/>
                        <w:bottom w:val="none" w:sz="0" w:space="0" w:color="auto"/>
                        <w:right w:val="none" w:sz="0" w:space="0" w:color="auto"/>
                      </w:divBdr>
                      <w:divsChild>
                        <w:div w:id="178738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407199">
      <w:bodyDiv w:val="1"/>
      <w:marLeft w:val="0"/>
      <w:marRight w:val="0"/>
      <w:marTop w:val="0"/>
      <w:marBottom w:val="0"/>
      <w:divBdr>
        <w:top w:val="none" w:sz="0" w:space="0" w:color="auto"/>
        <w:left w:val="none" w:sz="0" w:space="0" w:color="auto"/>
        <w:bottom w:val="none" w:sz="0" w:space="0" w:color="auto"/>
        <w:right w:val="none" w:sz="0" w:space="0" w:color="auto"/>
      </w:divBdr>
    </w:div>
    <w:div w:id="2123038931">
      <w:bodyDiv w:val="1"/>
      <w:marLeft w:val="0"/>
      <w:marRight w:val="0"/>
      <w:marTop w:val="0"/>
      <w:marBottom w:val="0"/>
      <w:divBdr>
        <w:top w:val="none" w:sz="0" w:space="0" w:color="auto"/>
        <w:left w:val="none" w:sz="0" w:space="0" w:color="auto"/>
        <w:bottom w:val="none" w:sz="0" w:space="0" w:color="auto"/>
        <w:right w:val="none" w:sz="0" w:space="0" w:color="auto"/>
      </w:divBdr>
      <w:divsChild>
        <w:div w:id="303197875">
          <w:marLeft w:val="0"/>
          <w:marRight w:val="0"/>
          <w:marTop w:val="30"/>
          <w:marBottom w:val="30"/>
          <w:divBdr>
            <w:top w:val="none" w:sz="0" w:space="0" w:color="auto"/>
            <w:left w:val="none" w:sz="0" w:space="0" w:color="auto"/>
            <w:bottom w:val="none" w:sz="0" w:space="0" w:color="auto"/>
            <w:right w:val="none" w:sz="0" w:space="0" w:color="auto"/>
          </w:divBdr>
        </w:div>
        <w:div w:id="70665601">
          <w:marLeft w:val="0"/>
          <w:marRight w:val="0"/>
          <w:marTop w:val="3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New\D\&#1048;&#1055;%20&#1059;&#1090;&#1085;&#1072;&#1089;&#1091;&#1085;&#1086;&#1074;&#1072;\&#1054;&#1094;&#1077;&#1085;&#1082;&#1072;\&#1042;%20&#1088;&#1072;&#1073;&#1086;&#1090;&#1077;\&#1050;&#1086;&#1087;&#1080;&#1103;%20&#1056;&#1072;&#1089;&#1095;&#1077;&#1090;%20&#1076;&#1083;&#1103;%20&#1072;&#1085;&#1072;&#1083;&#1080;&#1079;&#1072;%20&#1088;&#1099;&#1085;&#1082;&#1072;%208%20201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New\D\&#1048;&#1055;%20&#1059;&#1090;&#1085;&#1072;&#1089;&#1091;&#1085;&#1086;&#1074;&#1072;\&#1054;&#1094;&#1077;&#1085;&#1082;&#1072;\&#1042;%20&#1088;&#1072;&#1073;&#1086;&#1090;&#1077;\&#1050;&#1086;&#1087;&#1080;&#1103;%20&#1056;&#1072;&#1089;&#1095;&#1077;&#1090;%20&#1076;&#1083;&#1103;%20&#1072;&#1085;&#1072;&#1083;&#1080;&#1079;&#1072;%20&#1088;&#1099;&#1085;&#1082;&#1072;%208%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cat>
            <c:strRef>
              <c:f>Лист1!$A$5:$A$6</c:f>
              <c:strCache>
                <c:ptCount val="2"/>
                <c:pt idx="0">
                  <c:v>Квартиры 55%</c:v>
                </c:pt>
                <c:pt idx="1">
                  <c:v>Домовладения 45%</c:v>
                </c:pt>
              </c:strCache>
            </c:strRef>
          </c:cat>
          <c:val>
            <c:numRef>
              <c:f>Лист1!$B$5:$B$6</c:f>
              <c:numCache>
                <c:formatCode>General</c:formatCode>
                <c:ptCount val="2"/>
                <c:pt idx="0">
                  <c:v>734</c:v>
                </c:pt>
                <c:pt idx="1">
                  <c:v>590</c:v>
                </c:pt>
              </c:numCache>
            </c:numRef>
          </c:val>
          <c:extLst>
            <c:ext xmlns:c16="http://schemas.microsoft.com/office/drawing/2014/chart" uri="{C3380CC4-5D6E-409C-BE32-E72D297353CC}">
              <c16:uniqueId val="{00000000-0889-4D76-85B8-9F52EB6981D4}"/>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cat>
            <c:strRef>
              <c:f>Лист1!$A$24:$A$27</c:f>
              <c:strCache>
                <c:ptCount val="4"/>
                <c:pt idx="0">
                  <c:v>1-комнатные 22%</c:v>
                </c:pt>
                <c:pt idx="1">
                  <c:v>2-комнатные 29%</c:v>
                </c:pt>
                <c:pt idx="2">
                  <c:v>3-комнатные 37%</c:v>
                </c:pt>
                <c:pt idx="3">
                  <c:v>4+-комнатные 12%</c:v>
                </c:pt>
              </c:strCache>
            </c:strRef>
          </c:cat>
          <c:val>
            <c:numRef>
              <c:f>Лист1!$B$24:$B$27</c:f>
              <c:numCache>
                <c:formatCode>General</c:formatCode>
                <c:ptCount val="4"/>
                <c:pt idx="0">
                  <c:v>165</c:v>
                </c:pt>
                <c:pt idx="1">
                  <c:v>212</c:v>
                </c:pt>
                <c:pt idx="2">
                  <c:v>268</c:v>
                </c:pt>
                <c:pt idx="3">
                  <c:v>88</c:v>
                </c:pt>
              </c:numCache>
            </c:numRef>
          </c:val>
          <c:extLst>
            <c:ext xmlns:c16="http://schemas.microsoft.com/office/drawing/2014/chart" uri="{C3380CC4-5D6E-409C-BE32-E72D297353CC}">
              <c16:uniqueId val="{00000000-879E-4ABA-80F3-622C4F2B1BD1}"/>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cat>
            <c:strRef>
              <c:f>Лист1!$A$46:$A$49</c:f>
              <c:strCache>
                <c:ptCount val="4"/>
                <c:pt idx="0">
                  <c:v>торгово-офисная 27%</c:v>
                </c:pt>
                <c:pt idx="1">
                  <c:v>производственно-складская 13%</c:v>
                </c:pt>
                <c:pt idx="2">
                  <c:v>общественного питания 5%</c:v>
                </c:pt>
                <c:pt idx="3">
                  <c:v>свободного назначения 55%</c:v>
                </c:pt>
              </c:strCache>
            </c:strRef>
          </c:cat>
          <c:val>
            <c:numRef>
              <c:f>Лист1!$B$46:$B$49</c:f>
              <c:numCache>
                <c:formatCode>General</c:formatCode>
                <c:ptCount val="4"/>
                <c:pt idx="0">
                  <c:v>18</c:v>
                </c:pt>
                <c:pt idx="1">
                  <c:v>9</c:v>
                </c:pt>
                <c:pt idx="2">
                  <c:v>3</c:v>
                </c:pt>
                <c:pt idx="3">
                  <c:v>37</c:v>
                </c:pt>
              </c:numCache>
            </c:numRef>
          </c:val>
          <c:extLst>
            <c:ext xmlns:c16="http://schemas.microsoft.com/office/drawing/2014/chart" uri="{C3380CC4-5D6E-409C-BE32-E72D297353CC}">
              <c16:uniqueId val="{00000000-A7B4-46C4-93FD-B4EE9F305DEA}"/>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cat>
            <c:strRef>
              <c:f>Лист1!$A$63:$A$64</c:f>
              <c:strCache>
                <c:ptCount val="2"/>
                <c:pt idx="0">
                  <c:v>ИЖС 94%</c:v>
                </c:pt>
                <c:pt idx="1">
                  <c:v>Коммерческая застройка 6%</c:v>
                </c:pt>
              </c:strCache>
            </c:strRef>
          </c:cat>
          <c:val>
            <c:numRef>
              <c:f>Лист1!$B$63:$B$64</c:f>
              <c:numCache>
                <c:formatCode>General</c:formatCode>
                <c:ptCount val="2"/>
                <c:pt idx="0">
                  <c:v>378</c:v>
                </c:pt>
                <c:pt idx="1">
                  <c:v>22</c:v>
                </c:pt>
              </c:numCache>
            </c:numRef>
          </c:val>
          <c:extLst>
            <c:ext xmlns:c16="http://schemas.microsoft.com/office/drawing/2014/chart" uri="{C3380CC4-5D6E-409C-BE32-E72D297353CC}">
              <c16:uniqueId val="{00000000-18CB-4851-B086-AA3465B9E19F}"/>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28DDB-89B2-4FB0-9DF6-EF4E91032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9</Pages>
  <Words>1850</Words>
  <Characters>10546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Роман Чирков</cp:lastModifiedBy>
  <cp:revision>13</cp:revision>
  <cp:lastPrinted>2018-03-12T08:48:00Z</cp:lastPrinted>
  <dcterms:created xsi:type="dcterms:W3CDTF">2018-08-23T11:44:00Z</dcterms:created>
  <dcterms:modified xsi:type="dcterms:W3CDTF">2018-09-05T05:02:00Z</dcterms:modified>
</cp:coreProperties>
</file>