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CF" w:rsidRPr="004D52AE" w:rsidRDefault="00162FCF" w:rsidP="00162FCF">
      <w:pPr>
        <w:spacing w:line="240" w:lineRule="exact"/>
        <w:jc w:val="center"/>
        <w:rPr>
          <w:rFonts w:ascii="Arial" w:hAnsi="Arial" w:cs="Arial"/>
          <w:b/>
          <w:sz w:val="20"/>
          <w:szCs w:val="20"/>
        </w:rPr>
      </w:pPr>
      <w:r>
        <w:rPr>
          <w:rFonts w:ascii="Arial" w:hAnsi="Arial" w:cs="Arial"/>
          <w:b/>
          <w:sz w:val="20"/>
          <w:szCs w:val="20"/>
        </w:rPr>
        <w:t xml:space="preserve">Основные </w:t>
      </w:r>
      <w:r w:rsidRPr="004D52AE">
        <w:rPr>
          <w:rFonts w:ascii="Arial" w:hAnsi="Arial" w:cs="Arial"/>
          <w:b/>
          <w:sz w:val="20"/>
          <w:szCs w:val="20"/>
        </w:rPr>
        <w:t>социально-экономическ</w:t>
      </w:r>
      <w:r>
        <w:rPr>
          <w:rFonts w:ascii="Arial" w:hAnsi="Arial" w:cs="Arial"/>
          <w:b/>
          <w:sz w:val="20"/>
          <w:szCs w:val="20"/>
        </w:rPr>
        <w:t>ие</w:t>
      </w:r>
      <w:r w:rsidRPr="004D52AE">
        <w:rPr>
          <w:rFonts w:ascii="Arial" w:hAnsi="Arial" w:cs="Arial"/>
          <w:b/>
          <w:sz w:val="20"/>
          <w:szCs w:val="20"/>
        </w:rPr>
        <w:t xml:space="preserve"> </w:t>
      </w:r>
      <w:r>
        <w:rPr>
          <w:rFonts w:ascii="Arial" w:hAnsi="Arial" w:cs="Arial"/>
          <w:b/>
          <w:sz w:val="20"/>
          <w:szCs w:val="20"/>
        </w:rPr>
        <w:t>показатели Республики Калмыкия</w:t>
      </w:r>
      <w:r w:rsidRPr="004D52AE">
        <w:rPr>
          <w:rFonts w:ascii="Arial" w:hAnsi="Arial" w:cs="Arial"/>
          <w:b/>
          <w:sz w:val="20"/>
          <w:szCs w:val="20"/>
        </w:rPr>
        <w:t xml:space="preserve"> </w:t>
      </w:r>
    </w:p>
    <w:p w:rsidR="00162FCF" w:rsidRPr="004D52AE" w:rsidRDefault="00162FCF" w:rsidP="00162FCF">
      <w:pPr>
        <w:spacing w:line="240" w:lineRule="exact"/>
        <w:jc w:val="center"/>
        <w:rPr>
          <w:rFonts w:ascii="Arial" w:hAnsi="Arial" w:cs="Arial"/>
          <w:b/>
          <w:sz w:val="20"/>
          <w:szCs w:val="20"/>
        </w:rPr>
      </w:pPr>
      <w:r w:rsidRPr="004D52AE">
        <w:rPr>
          <w:rFonts w:ascii="Arial" w:hAnsi="Arial" w:cs="Arial"/>
          <w:b/>
          <w:sz w:val="20"/>
          <w:szCs w:val="20"/>
        </w:rPr>
        <w:t>за 201</w:t>
      </w:r>
      <w:r>
        <w:rPr>
          <w:rFonts w:ascii="Arial" w:hAnsi="Arial" w:cs="Arial"/>
          <w:b/>
          <w:sz w:val="20"/>
          <w:szCs w:val="20"/>
        </w:rPr>
        <w:t>2-1016 г.г.</w:t>
      </w:r>
      <w:r>
        <w:rPr>
          <w:rStyle w:val="a6"/>
          <w:rFonts w:ascii="Arial" w:hAnsi="Arial" w:cs="Arial"/>
          <w:b/>
          <w:sz w:val="20"/>
          <w:szCs w:val="20"/>
        </w:rPr>
        <w:footnoteReference w:id="1"/>
      </w:r>
    </w:p>
    <w:p w:rsidR="00162FCF" w:rsidRDefault="00162FCF" w:rsidP="00162FCF">
      <w:pPr>
        <w:jc w:val="both"/>
        <w:rPr>
          <w:rFonts w:ascii="Arial" w:hAnsi="Arial" w:cs="Arial"/>
          <w:sz w:val="20"/>
          <w:szCs w:val="20"/>
        </w:rPr>
      </w:pPr>
      <w:r>
        <w:rPr>
          <w:rFonts w:ascii="Arial" w:hAnsi="Arial" w:cs="Arial"/>
          <w:noProof/>
          <w:sz w:val="20"/>
          <w:szCs w:val="20"/>
        </w:rPr>
        <w:drawing>
          <wp:inline distT="0" distB="0" distL="0" distR="0">
            <wp:extent cx="5935980" cy="8374545"/>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8374545"/>
                    </a:xfrm>
                    <a:prstGeom prst="rect">
                      <a:avLst/>
                    </a:prstGeom>
                    <a:noFill/>
                    <a:ln>
                      <a:noFill/>
                    </a:ln>
                  </pic:spPr>
                </pic:pic>
              </a:graphicData>
            </a:graphic>
          </wp:inline>
        </w:drawing>
      </w:r>
    </w:p>
    <w:p w:rsidR="00232223" w:rsidRDefault="00232223" w:rsidP="00162FCF">
      <w:pPr>
        <w:jc w:val="both"/>
        <w:rPr>
          <w:rFonts w:ascii="Arial" w:hAnsi="Arial" w:cs="Arial"/>
          <w:sz w:val="20"/>
          <w:szCs w:val="20"/>
        </w:rPr>
      </w:pPr>
      <w:r>
        <w:rPr>
          <w:rFonts w:ascii="Arial" w:hAnsi="Arial" w:cs="Arial"/>
          <w:sz w:val="20"/>
          <w:szCs w:val="20"/>
        </w:rPr>
        <w:lastRenderedPageBreak/>
        <w:tab/>
        <w:t xml:space="preserve">Самые значимые проекты, реализуются на территории Калмыкии крупными нефтяными и </w:t>
      </w:r>
      <w:r w:rsidRPr="00232223">
        <w:rPr>
          <w:rFonts w:ascii="Arial" w:hAnsi="Arial" w:cs="Arial"/>
          <w:sz w:val="20"/>
          <w:szCs w:val="20"/>
        </w:rPr>
        <w:t>нефтеперерабатывающими компаниями.</w:t>
      </w:r>
    </w:p>
    <w:p w:rsidR="00232223" w:rsidRDefault="00232223" w:rsidP="00232223">
      <w:pPr>
        <w:ind w:firstLine="708"/>
        <w:jc w:val="both"/>
        <w:rPr>
          <w:rFonts w:ascii="Arial" w:hAnsi="Arial" w:cs="Arial"/>
          <w:sz w:val="20"/>
          <w:szCs w:val="20"/>
        </w:rPr>
      </w:pPr>
      <w:r w:rsidRPr="00232223">
        <w:rPr>
          <w:rFonts w:ascii="Arial" w:hAnsi="Arial" w:cs="Arial"/>
          <w:sz w:val="20"/>
          <w:szCs w:val="20"/>
        </w:rPr>
        <w:t xml:space="preserve">Нефтяная компания </w:t>
      </w:r>
      <w:proofErr w:type="spellStart"/>
      <w:r w:rsidRPr="00232223">
        <w:rPr>
          <w:rFonts w:ascii="Arial" w:hAnsi="Arial" w:cs="Arial"/>
          <w:sz w:val="20"/>
          <w:szCs w:val="20"/>
        </w:rPr>
        <w:t>Лукойл</w:t>
      </w:r>
      <w:proofErr w:type="spellEnd"/>
      <w:r>
        <w:rPr>
          <w:rFonts w:ascii="Arial" w:hAnsi="Arial" w:cs="Arial"/>
          <w:sz w:val="20"/>
          <w:szCs w:val="20"/>
        </w:rPr>
        <w:t xml:space="preserve"> в 2016 г. завершило</w:t>
      </w:r>
      <w:r w:rsidRPr="00232223">
        <w:rPr>
          <w:rFonts w:ascii="Arial" w:hAnsi="Arial" w:cs="Arial"/>
          <w:sz w:val="20"/>
          <w:szCs w:val="20"/>
        </w:rPr>
        <w:t xml:space="preserve"> строительство газовой трубопроводной системы и береговых сооружений, которые будут обеспечивать транспортировку природного газа с месторождений </w:t>
      </w:r>
      <w:r>
        <w:rPr>
          <w:rFonts w:ascii="Arial" w:hAnsi="Arial" w:cs="Arial"/>
          <w:sz w:val="20"/>
          <w:szCs w:val="20"/>
        </w:rPr>
        <w:t>к</w:t>
      </w:r>
      <w:r w:rsidRPr="00232223">
        <w:rPr>
          <w:rFonts w:ascii="Arial" w:hAnsi="Arial" w:cs="Arial"/>
          <w:sz w:val="20"/>
          <w:szCs w:val="20"/>
        </w:rPr>
        <w:t>омпании на Северном Каспии для дальнейшей переработки н</w:t>
      </w:r>
      <w:proofErr w:type="gramStart"/>
      <w:r w:rsidRPr="00232223">
        <w:rPr>
          <w:rFonts w:ascii="Arial" w:hAnsi="Arial" w:cs="Arial"/>
          <w:sz w:val="20"/>
          <w:szCs w:val="20"/>
        </w:rPr>
        <w:t>а ООО</w:t>
      </w:r>
      <w:proofErr w:type="gramEnd"/>
      <w:r w:rsidRPr="00232223">
        <w:rPr>
          <w:rFonts w:ascii="Arial" w:hAnsi="Arial" w:cs="Arial"/>
          <w:sz w:val="20"/>
          <w:szCs w:val="20"/>
        </w:rPr>
        <w:t xml:space="preserve"> «</w:t>
      </w:r>
      <w:proofErr w:type="spellStart"/>
      <w:r w:rsidRPr="00232223">
        <w:rPr>
          <w:rFonts w:ascii="Arial" w:hAnsi="Arial" w:cs="Arial"/>
          <w:sz w:val="20"/>
          <w:szCs w:val="20"/>
        </w:rPr>
        <w:t>Ставролен</w:t>
      </w:r>
      <w:proofErr w:type="spellEnd"/>
      <w:r w:rsidRPr="00232223">
        <w:rPr>
          <w:rFonts w:ascii="Arial" w:hAnsi="Arial" w:cs="Arial"/>
          <w:sz w:val="20"/>
          <w:szCs w:val="20"/>
        </w:rPr>
        <w:t>» в Ставропольском крае.</w:t>
      </w:r>
    </w:p>
    <w:p w:rsidR="00232223" w:rsidRDefault="00232223" w:rsidP="00232223">
      <w:pPr>
        <w:ind w:firstLine="708"/>
        <w:jc w:val="both"/>
        <w:rPr>
          <w:rStyle w:val="apple-converted-space"/>
          <w:rFonts w:ascii="Arial" w:hAnsi="Arial" w:cs="Arial"/>
          <w:color w:val="303030"/>
          <w:sz w:val="20"/>
          <w:szCs w:val="20"/>
          <w:shd w:val="clear" w:color="auto" w:fill="FFFFFF"/>
        </w:rPr>
      </w:pPr>
      <w:r>
        <w:rPr>
          <w:rFonts w:ascii="Arial" w:hAnsi="Arial" w:cs="Arial"/>
          <w:sz w:val="20"/>
          <w:szCs w:val="20"/>
          <w:shd w:val="clear" w:color="auto" w:fill="FFFFFF"/>
        </w:rPr>
        <w:t>Каспийский трубопроводный консорциум в</w:t>
      </w:r>
      <w:r w:rsidRPr="00232223">
        <w:rPr>
          <w:rFonts w:ascii="Arial" w:hAnsi="Arial" w:cs="Arial"/>
          <w:sz w:val="20"/>
          <w:szCs w:val="20"/>
          <w:shd w:val="clear" w:color="auto" w:fill="FFFFFF"/>
        </w:rPr>
        <w:t> апрел</w:t>
      </w:r>
      <w:r>
        <w:rPr>
          <w:rFonts w:ascii="Arial" w:hAnsi="Arial" w:cs="Arial"/>
          <w:sz w:val="20"/>
          <w:szCs w:val="20"/>
          <w:shd w:val="clear" w:color="auto" w:fill="FFFFFF"/>
        </w:rPr>
        <w:t>е</w:t>
      </w:r>
      <w:r w:rsidRPr="00232223">
        <w:rPr>
          <w:rFonts w:ascii="Arial" w:hAnsi="Arial" w:cs="Arial"/>
          <w:sz w:val="20"/>
          <w:szCs w:val="20"/>
          <w:shd w:val="clear" w:color="auto" w:fill="FFFFFF"/>
        </w:rPr>
        <w:t xml:space="preserve"> 2018 года</w:t>
      </w:r>
      <w:r>
        <w:rPr>
          <w:rFonts w:ascii="Arial" w:hAnsi="Arial" w:cs="Arial"/>
          <w:sz w:val="20"/>
          <w:szCs w:val="20"/>
          <w:shd w:val="clear" w:color="auto" w:fill="FFFFFF"/>
        </w:rPr>
        <w:t xml:space="preserve"> ввел</w:t>
      </w:r>
      <w:r w:rsidRPr="00232223">
        <w:rPr>
          <w:rFonts w:ascii="Arial" w:hAnsi="Arial" w:cs="Arial"/>
          <w:sz w:val="20"/>
          <w:szCs w:val="20"/>
          <w:shd w:val="clear" w:color="auto" w:fill="FFFFFF"/>
        </w:rPr>
        <w:t xml:space="preserve"> в режим постоянной эксплуатации последн</w:t>
      </w:r>
      <w:r>
        <w:rPr>
          <w:rFonts w:ascii="Arial" w:hAnsi="Arial" w:cs="Arial"/>
          <w:sz w:val="20"/>
          <w:szCs w:val="20"/>
          <w:shd w:val="clear" w:color="auto" w:fill="FFFFFF"/>
        </w:rPr>
        <w:t>юю</w:t>
      </w:r>
      <w:r w:rsidRPr="00232223">
        <w:rPr>
          <w:rFonts w:ascii="Arial" w:hAnsi="Arial" w:cs="Arial"/>
          <w:sz w:val="20"/>
          <w:szCs w:val="20"/>
          <w:shd w:val="clear" w:color="auto" w:fill="FFFFFF"/>
        </w:rPr>
        <w:t xml:space="preserve"> станци</w:t>
      </w:r>
      <w:r>
        <w:rPr>
          <w:rFonts w:ascii="Arial" w:hAnsi="Arial" w:cs="Arial"/>
          <w:sz w:val="20"/>
          <w:szCs w:val="20"/>
          <w:shd w:val="clear" w:color="auto" w:fill="FFFFFF"/>
        </w:rPr>
        <w:t>ю</w:t>
      </w:r>
      <w:r w:rsidRPr="00232223">
        <w:rPr>
          <w:rFonts w:ascii="Arial" w:hAnsi="Arial" w:cs="Arial"/>
          <w:sz w:val="20"/>
          <w:szCs w:val="20"/>
          <w:shd w:val="clear" w:color="auto" w:fill="FFFFFF"/>
        </w:rPr>
        <w:t xml:space="preserve"> </w:t>
      </w:r>
      <w:r>
        <w:rPr>
          <w:rFonts w:ascii="Arial" w:hAnsi="Arial" w:cs="Arial"/>
          <w:sz w:val="20"/>
          <w:szCs w:val="20"/>
          <w:shd w:val="clear" w:color="auto" w:fill="FFFFFF"/>
        </w:rPr>
        <w:t>п</w:t>
      </w:r>
      <w:r w:rsidRPr="00232223">
        <w:rPr>
          <w:rFonts w:ascii="Arial" w:hAnsi="Arial" w:cs="Arial"/>
          <w:sz w:val="20"/>
          <w:szCs w:val="20"/>
          <w:shd w:val="clear" w:color="auto" w:fill="FFFFFF"/>
        </w:rPr>
        <w:t>роекта расширения мощностей трубопроводной системы КТК — НПС-2 в Калмыкии.</w:t>
      </w:r>
      <w:r w:rsidRPr="00232223">
        <w:rPr>
          <w:rStyle w:val="apple-converted-space"/>
          <w:rFonts w:ascii="Arial" w:hAnsi="Arial" w:cs="Arial"/>
          <w:color w:val="303030"/>
          <w:sz w:val="20"/>
          <w:szCs w:val="20"/>
          <w:shd w:val="clear" w:color="auto" w:fill="FFFFFF"/>
        </w:rPr>
        <w:t> </w:t>
      </w:r>
      <w:r>
        <w:rPr>
          <w:rStyle w:val="apple-converted-space"/>
          <w:rFonts w:ascii="Arial" w:hAnsi="Arial" w:cs="Arial"/>
          <w:color w:val="303030"/>
          <w:sz w:val="20"/>
          <w:szCs w:val="20"/>
          <w:shd w:val="clear" w:color="auto" w:fill="FFFFFF"/>
        </w:rPr>
        <w:t>Стоимость проекта составила более 7 млрд. рублей.</w:t>
      </w:r>
    </w:p>
    <w:p w:rsidR="000B2A8F" w:rsidRPr="00232223" w:rsidRDefault="000B2A8F" w:rsidP="00232223">
      <w:pPr>
        <w:ind w:firstLine="708"/>
        <w:jc w:val="both"/>
        <w:rPr>
          <w:rFonts w:ascii="Arial" w:hAnsi="Arial" w:cs="Arial"/>
          <w:sz w:val="20"/>
          <w:szCs w:val="20"/>
        </w:rPr>
      </w:pPr>
    </w:p>
    <w:p w:rsidR="00162FCF" w:rsidRPr="00CC1B3D" w:rsidRDefault="00162FCF" w:rsidP="00162FCF">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 сделок и (или) предложений рынка жилой</w:t>
      </w:r>
      <w:r>
        <w:rPr>
          <w:rFonts w:ascii="Arial" w:hAnsi="Arial" w:cs="Arial"/>
          <w:b/>
          <w:sz w:val="20"/>
          <w:szCs w:val="20"/>
        </w:rPr>
        <w:t>, коммерческой</w:t>
      </w:r>
      <w:r w:rsidRPr="00CC1B3D">
        <w:rPr>
          <w:rFonts w:ascii="Arial" w:hAnsi="Arial" w:cs="Arial"/>
          <w:b/>
          <w:sz w:val="20"/>
          <w:szCs w:val="20"/>
        </w:rPr>
        <w:t xml:space="preserve"> недвижимости</w:t>
      </w:r>
      <w:r>
        <w:rPr>
          <w:rFonts w:ascii="Arial" w:hAnsi="Arial" w:cs="Arial"/>
          <w:b/>
          <w:sz w:val="20"/>
          <w:szCs w:val="20"/>
        </w:rPr>
        <w:t xml:space="preserve"> и земельных участков</w:t>
      </w:r>
      <w:r w:rsidRPr="00CC1B3D">
        <w:rPr>
          <w:rFonts w:ascii="Arial" w:hAnsi="Arial" w:cs="Arial"/>
          <w:b/>
          <w:sz w:val="20"/>
          <w:szCs w:val="20"/>
        </w:rPr>
        <w:t xml:space="preserve"> </w:t>
      </w:r>
      <w:proofErr w:type="gramStart"/>
      <w:r>
        <w:rPr>
          <w:rFonts w:ascii="Arial" w:hAnsi="Arial" w:cs="Arial"/>
          <w:b/>
          <w:sz w:val="20"/>
          <w:szCs w:val="20"/>
        </w:rPr>
        <w:t>г</w:t>
      </w:r>
      <w:proofErr w:type="gramEnd"/>
      <w:r>
        <w:rPr>
          <w:rFonts w:ascii="Arial" w:hAnsi="Arial" w:cs="Arial"/>
          <w:b/>
          <w:sz w:val="20"/>
          <w:szCs w:val="20"/>
        </w:rPr>
        <w:t>. Элиста</w:t>
      </w:r>
      <w:r w:rsidRPr="00CC1B3D">
        <w:rPr>
          <w:rFonts w:ascii="Arial" w:hAnsi="Arial" w:cs="Arial"/>
          <w:b/>
          <w:sz w:val="20"/>
          <w:szCs w:val="20"/>
        </w:rPr>
        <w:t xml:space="preserve"> </w:t>
      </w:r>
    </w:p>
    <w:p w:rsidR="00162FCF" w:rsidRPr="00CC1B3D" w:rsidRDefault="00162FCF" w:rsidP="00162FCF">
      <w:pPr>
        <w:jc w:val="center"/>
        <w:rPr>
          <w:rFonts w:ascii="Arial" w:hAnsi="Arial" w:cs="Arial"/>
          <w:b/>
          <w:sz w:val="20"/>
          <w:szCs w:val="20"/>
        </w:rPr>
      </w:pPr>
    </w:p>
    <w:p w:rsidR="00162FCF" w:rsidRDefault="00162FCF" w:rsidP="00162FCF">
      <w:pPr>
        <w:ind w:firstLine="709"/>
        <w:jc w:val="both"/>
        <w:rPr>
          <w:rFonts w:ascii="Arial" w:hAnsi="Arial" w:cs="Arial"/>
          <w:sz w:val="20"/>
          <w:szCs w:val="20"/>
        </w:rPr>
      </w:pPr>
      <w:r w:rsidRPr="00162FCF">
        <w:rPr>
          <w:rFonts w:ascii="Arial" w:hAnsi="Arial" w:cs="Arial"/>
          <w:sz w:val="20"/>
          <w:szCs w:val="20"/>
        </w:rPr>
        <w:t>Рынок недвижимости Республики Калмыкия находится в стадии становления, риэлтерскими услугами охвачена фактически только столица Республики – г.Элиста. Наблюдается разрозненность и недостаток информации, затрудняющее инвесторам принять решение об инвестировании в те или иные объекты, что оказывает негативное влияние на динамичное развитие рынка коммерческой недвижимости в республике.</w:t>
      </w:r>
    </w:p>
    <w:p w:rsidR="001D5F1E" w:rsidRDefault="001D5F1E" w:rsidP="00162FCF">
      <w:pPr>
        <w:ind w:firstLine="709"/>
        <w:jc w:val="both"/>
        <w:rPr>
          <w:rFonts w:ascii="Arial" w:hAnsi="Arial" w:cs="Arial"/>
          <w:sz w:val="20"/>
          <w:szCs w:val="20"/>
        </w:rPr>
      </w:pPr>
      <w:r>
        <w:rPr>
          <w:rFonts w:ascii="Arial" w:hAnsi="Arial" w:cs="Arial"/>
          <w:sz w:val="20"/>
          <w:szCs w:val="20"/>
        </w:rPr>
        <w:t>Наиболее крупные объекты жилищного строительства в г</w:t>
      </w:r>
      <w:proofErr w:type="gramStart"/>
      <w:r>
        <w:rPr>
          <w:rFonts w:ascii="Arial" w:hAnsi="Arial" w:cs="Arial"/>
          <w:sz w:val="20"/>
          <w:szCs w:val="20"/>
        </w:rPr>
        <w:t>.Э</w:t>
      </w:r>
      <w:proofErr w:type="gramEnd"/>
      <w:r>
        <w:rPr>
          <w:rFonts w:ascii="Arial" w:hAnsi="Arial" w:cs="Arial"/>
          <w:sz w:val="20"/>
          <w:szCs w:val="20"/>
        </w:rPr>
        <w:t>листа за прошедшие годы:</w:t>
      </w:r>
    </w:p>
    <w:p w:rsidR="001D5F1E" w:rsidRPr="001D5F1E" w:rsidRDefault="001D5F1E" w:rsidP="001D5F1E">
      <w:pPr>
        <w:pStyle w:val="af4"/>
        <w:numPr>
          <w:ilvl w:val="0"/>
          <w:numId w:val="2"/>
        </w:numPr>
        <w:rPr>
          <w:rFonts w:ascii="Arial" w:hAnsi="Arial" w:cs="Arial"/>
          <w:sz w:val="20"/>
          <w:szCs w:val="20"/>
        </w:rPr>
      </w:pPr>
      <w:r>
        <w:rPr>
          <w:rFonts w:ascii="Arial" w:hAnsi="Arial" w:cs="Arial"/>
          <w:sz w:val="20"/>
          <w:szCs w:val="20"/>
        </w:rPr>
        <w:t>в</w:t>
      </w:r>
      <w:r w:rsidRPr="001D5F1E">
        <w:rPr>
          <w:rFonts w:ascii="Arial" w:hAnsi="Arial" w:cs="Arial"/>
          <w:sz w:val="20"/>
          <w:szCs w:val="20"/>
        </w:rPr>
        <w:t xml:space="preserve"> 2017 г. построены 6 многоэтажных домов (два 4-этажных, один 6-этажный, три 9-этажных) общей площадью свыше 30 тыс.кв.м.;</w:t>
      </w:r>
    </w:p>
    <w:p w:rsidR="001D5F1E" w:rsidRDefault="001D5F1E" w:rsidP="001D5F1E">
      <w:pPr>
        <w:pStyle w:val="af4"/>
        <w:numPr>
          <w:ilvl w:val="0"/>
          <w:numId w:val="2"/>
        </w:numPr>
        <w:rPr>
          <w:rFonts w:ascii="Arial" w:hAnsi="Arial" w:cs="Arial"/>
          <w:sz w:val="20"/>
          <w:szCs w:val="20"/>
        </w:rPr>
      </w:pPr>
      <w:r>
        <w:rPr>
          <w:rFonts w:ascii="Arial" w:hAnsi="Arial" w:cs="Arial"/>
          <w:sz w:val="20"/>
          <w:szCs w:val="20"/>
        </w:rPr>
        <w:t>в</w:t>
      </w:r>
      <w:r w:rsidRPr="001D5F1E">
        <w:rPr>
          <w:rFonts w:ascii="Arial" w:hAnsi="Arial" w:cs="Arial"/>
          <w:sz w:val="20"/>
          <w:szCs w:val="20"/>
        </w:rPr>
        <w:t xml:space="preserve"> 201</w:t>
      </w:r>
      <w:r>
        <w:rPr>
          <w:rFonts w:ascii="Arial" w:hAnsi="Arial" w:cs="Arial"/>
          <w:sz w:val="20"/>
          <w:szCs w:val="20"/>
        </w:rPr>
        <w:t>6</w:t>
      </w:r>
      <w:r w:rsidRPr="001D5F1E">
        <w:rPr>
          <w:rFonts w:ascii="Arial" w:hAnsi="Arial" w:cs="Arial"/>
          <w:sz w:val="20"/>
          <w:szCs w:val="20"/>
        </w:rPr>
        <w:t xml:space="preserve"> г. построены </w:t>
      </w:r>
      <w:r>
        <w:rPr>
          <w:rFonts w:ascii="Arial" w:hAnsi="Arial" w:cs="Arial"/>
          <w:sz w:val="20"/>
          <w:szCs w:val="20"/>
        </w:rPr>
        <w:t>7</w:t>
      </w:r>
      <w:r w:rsidRPr="001D5F1E">
        <w:rPr>
          <w:rFonts w:ascii="Arial" w:hAnsi="Arial" w:cs="Arial"/>
          <w:sz w:val="20"/>
          <w:szCs w:val="20"/>
        </w:rPr>
        <w:t xml:space="preserve"> многоэтажных домов (два </w:t>
      </w:r>
      <w:r>
        <w:rPr>
          <w:rFonts w:ascii="Arial" w:hAnsi="Arial" w:cs="Arial"/>
          <w:sz w:val="20"/>
          <w:szCs w:val="20"/>
        </w:rPr>
        <w:t>5</w:t>
      </w:r>
      <w:r w:rsidRPr="001D5F1E">
        <w:rPr>
          <w:rFonts w:ascii="Arial" w:hAnsi="Arial" w:cs="Arial"/>
          <w:sz w:val="20"/>
          <w:szCs w:val="20"/>
        </w:rPr>
        <w:t xml:space="preserve">-этажных, один </w:t>
      </w:r>
      <w:r>
        <w:rPr>
          <w:rFonts w:ascii="Arial" w:hAnsi="Arial" w:cs="Arial"/>
          <w:sz w:val="20"/>
          <w:szCs w:val="20"/>
        </w:rPr>
        <w:t>6</w:t>
      </w:r>
      <w:r w:rsidRPr="001D5F1E">
        <w:rPr>
          <w:rFonts w:ascii="Arial" w:hAnsi="Arial" w:cs="Arial"/>
          <w:sz w:val="20"/>
          <w:szCs w:val="20"/>
        </w:rPr>
        <w:t xml:space="preserve">-этажный, один </w:t>
      </w:r>
      <w:r>
        <w:rPr>
          <w:rFonts w:ascii="Arial" w:hAnsi="Arial" w:cs="Arial"/>
          <w:sz w:val="20"/>
          <w:szCs w:val="20"/>
        </w:rPr>
        <w:t>7</w:t>
      </w:r>
      <w:r w:rsidRPr="001D5F1E">
        <w:rPr>
          <w:rFonts w:ascii="Arial" w:hAnsi="Arial" w:cs="Arial"/>
          <w:sz w:val="20"/>
          <w:szCs w:val="20"/>
        </w:rPr>
        <w:t>-этажный</w:t>
      </w:r>
      <w:r>
        <w:rPr>
          <w:rFonts w:ascii="Arial" w:hAnsi="Arial" w:cs="Arial"/>
          <w:sz w:val="20"/>
          <w:szCs w:val="20"/>
        </w:rPr>
        <w:t>,</w:t>
      </w:r>
      <w:r w:rsidRPr="001D5F1E">
        <w:rPr>
          <w:rFonts w:ascii="Arial" w:hAnsi="Arial" w:cs="Arial"/>
          <w:sz w:val="20"/>
          <w:szCs w:val="20"/>
        </w:rPr>
        <w:t xml:space="preserve"> три 9-этажных) общей площадью свыше 3</w:t>
      </w:r>
      <w:r>
        <w:rPr>
          <w:rFonts w:ascii="Arial" w:hAnsi="Arial" w:cs="Arial"/>
          <w:sz w:val="20"/>
          <w:szCs w:val="20"/>
        </w:rPr>
        <w:t>7</w:t>
      </w:r>
      <w:r w:rsidRPr="001D5F1E">
        <w:rPr>
          <w:rFonts w:ascii="Arial" w:hAnsi="Arial" w:cs="Arial"/>
          <w:sz w:val="20"/>
          <w:szCs w:val="20"/>
        </w:rPr>
        <w:t xml:space="preserve"> тыс.кв.м.</w:t>
      </w:r>
      <w:r>
        <w:rPr>
          <w:rFonts w:ascii="Arial" w:hAnsi="Arial" w:cs="Arial"/>
          <w:sz w:val="20"/>
          <w:szCs w:val="20"/>
        </w:rPr>
        <w:t>;</w:t>
      </w:r>
    </w:p>
    <w:p w:rsidR="001D5F1E" w:rsidRDefault="001D5F1E" w:rsidP="001D5F1E">
      <w:pPr>
        <w:pStyle w:val="af4"/>
        <w:numPr>
          <w:ilvl w:val="0"/>
          <w:numId w:val="2"/>
        </w:numPr>
        <w:rPr>
          <w:rFonts w:ascii="Arial" w:hAnsi="Arial" w:cs="Arial"/>
          <w:sz w:val="20"/>
          <w:szCs w:val="20"/>
        </w:rPr>
      </w:pPr>
      <w:r>
        <w:rPr>
          <w:rFonts w:ascii="Arial" w:hAnsi="Arial" w:cs="Arial"/>
          <w:sz w:val="20"/>
          <w:szCs w:val="20"/>
        </w:rPr>
        <w:t>в</w:t>
      </w:r>
      <w:r w:rsidRPr="001D5F1E">
        <w:rPr>
          <w:rFonts w:ascii="Arial" w:hAnsi="Arial" w:cs="Arial"/>
          <w:sz w:val="20"/>
          <w:szCs w:val="20"/>
        </w:rPr>
        <w:t xml:space="preserve"> 201</w:t>
      </w:r>
      <w:r>
        <w:rPr>
          <w:rFonts w:ascii="Arial" w:hAnsi="Arial" w:cs="Arial"/>
          <w:sz w:val="20"/>
          <w:szCs w:val="20"/>
        </w:rPr>
        <w:t>5</w:t>
      </w:r>
      <w:r w:rsidRPr="001D5F1E">
        <w:rPr>
          <w:rFonts w:ascii="Arial" w:hAnsi="Arial" w:cs="Arial"/>
          <w:sz w:val="20"/>
          <w:szCs w:val="20"/>
        </w:rPr>
        <w:t xml:space="preserve"> г. построены </w:t>
      </w:r>
      <w:r>
        <w:rPr>
          <w:rFonts w:ascii="Arial" w:hAnsi="Arial" w:cs="Arial"/>
          <w:sz w:val="20"/>
          <w:szCs w:val="20"/>
        </w:rPr>
        <w:t>20</w:t>
      </w:r>
      <w:r w:rsidRPr="001D5F1E">
        <w:rPr>
          <w:rFonts w:ascii="Arial" w:hAnsi="Arial" w:cs="Arial"/>
          <w:sz w:val="20"/>
          <w:szCs w:val="20"/>
        </w:rPr>
        <w:t xml:space="preserve"> многоэтажных домов (</w:t>
      </w:r>
      <w:r w:rsidR="00A31621">
        <w:rPr>
          <w:rFonts w:ascii="Arial" w:hAnsi="Arial" w:cs="Arial"/>
          <w:sz w:val="20"/>
          <w:szCs w:val="20"/>
        </w:rPr>
        <w:t>три</w:t>
      </w:r>
      <w:r w:rsidRPr="001D5F1E">
        <w:rPr>
          <w:rFonts w:ascii="Arial" w:hAnsi="Arial" w:cs="Arial"/>
          <w:sz w:val="20"/>
          <w:szCs w:val="20"/>
        </w:rPr>
        <w:t xml:space="preserve"> </w:t>
      </w:r>
      <w:r w:rsidR="00A31621">
        <w:rPr>
          <w:rFonts w:ascii="Arial" w:hAnsi="Arial" w:cs="Arial"/>
          <w:sz w:val="20"/>
          <w:szCs w:val="20"/>
        </w:rPr>
        <w:t>2</w:t>
      </w:r>
      <w:r w:rsidRPr="001D5F1E">
        <w:rPr>
          <w:rFonts w:ascii="Arial" w:hAnsi="Arial" w:cs="Arial"/>
          <w:sz w:val="20"/>
          <w:szCs w:val="20"/>
        </w:rPr>
        <w:t xml:space="preserve">-этажных, </w:t>
      </w:r>
      <w:r w:rsidR="00A31621">
        <w:rPr>
          <w:rFonts w:ascii="Arial" w:hAnsi="Arial" w:cs="Arial"/>
          <w:sz w:val="20"/>
          <w:szCs w:val="20"/>
        </w:rPr>
        <w:t>два</w:t>
      </w:r>
      <w:r w:rsidRPr="001D5F1E">
        <w:rPr>
          <w:rFonts w:ascii="Arial" w:hAnsi="Arial" w:cs="Arial"/>
          <w:sz w:val="20"/>
          <w:szCs w:val="20"/>
        </w:rPr>
        <w:t xml:space="preserve"> </w:t>
      </w:r>
      <w:r w:rsidR="00A31621">
        <w:rPr>
          <w:rFonts w:ascii="Arial" w:hAnsi="Arial" w:cs="Arial"/>
          <w:sz w:val="20"/>
          <w:szCs w:val="20"/>
        </w:rPr>
        <w:t>4</w:t>
      </w:r>
      <w:r w:rsidRPr="001D5F1E">
        <w:rPr>
          <w:rFonts w:ascii="Arial" w:hAnsi="Arial" w:cs="Arial"/>
          <w:sz w:val="20"/>
          <w:szCs w:val="20"/>
        </w:rPr>
        <w:t>-этажны</w:t>
      </w:r>
      <w:r w:rsidR="00A31621">
        <w:rPr>
          <w:rFonts w:ascii="Arial" w:hAnsi="Arial" w:cs="Arial"/>
          <w:sz w:val="20"/>
          <w:szCs w:val="20"/>
        </w:rPr>
        <w:t>х</w:t>
      </w:r>
      <w:r w:rsidRPr="001D5F1E">
        <w:rPr>
          <w:rFonts w:ascii="Arial" w:hAnsi="Arial" w:cs="Arial"/>
          <w:sz w:val="20"/>
          <w:szCs w:val="20"/>
        </w:rPr>
        <w:t xml:space="preserve">, </w:t>
      </w:r>
      <w:r w:rsidR="00A31621">
        <w:rPr>
          <w:rFonts w:ascii="Arial" w:hAnsi="Arial" w:cs="Arial"/>
          <w:sz w:val="20"/>
          <w:szCs w:val="20"/>
        </w:rPr>
        <w:t>десять</w:t>
      </w:r>
      <w:r w:rsidRPr="001D5F1E">
        <w:rPr>
          <w:rFonts w:ascii="Arial" w:hAnsi="Arial" w:cs="Arial"/>
          <w:sz w:val="20"/>
          <w:szCs w:val="20"/>
        </w:rPr>
        <w:t xml:space="preserve"> </w:t>
      </w:r>
      <w:r w:rsidR="00A31621">
        <w:rPr>
          <w:rFonts w:ascii="Arial" w:hAnsi="Arial" w:cs="Arial"/>
          <w:sz w:val="20"/>
          <w:szCs w:val="20"/>
        </w:rPr>
        <w:t>5</w:t>
      </w:r>
      <w:r w:rsidRPr="001D5F1E">
        <w:rPr>
          <w:rFonts w:ascii="Arial" w:hAnsi="Arial" w:cs="Arial"/>
          <w:sz w:val="20"/>
          <w:szCs w:val="20"/>
        </w:rPr>
        <w:t>-этажны</w:t>
      </w:r>
      <w:r w:rsidR="00A31621">
        <w:rPr>
          <w:rFonts w:ascii="Arial" w:hAnsi="Arial" w:cs="Arial"/>
          <w:sz w:val="20"/>
          <w:szCs w:val="20"/>
        </w:rPr>
        <w:t>х</w:t>
      </w:r>
      <w:r>
        <w:rPr>
          <w:rFonts w:ascii="Arial" w:hAnsi="Arial" w:cs="Arial"/>
          <w:sz w:val="20"/>
          <w:szCs w:val="20"/>
        </w:rPr>
        <w:t>,</w:t>
      </w:r>
      <w:r w:rsidRPr="001D5F1E">
        <w:rPr>
          <w:rFonts w:ascii="Arial" w:hAnsi="Arial" w:cs="Arial"/>
          <w:sz w:val="20"/>
          <w:szCs w:val="20"/>
        </w:rPr>
        <w:t xml:space="preserve"> </w:t>
      </w:r>
      <w:r w:rsidR="00A31621">
        <w:rPr>
          <w:rFonts w:ascii="Arial" w:hAnsi="Arial" w:cs="Arial"/>
          <w:sz w:val="20"/>
          <w:szCs w:val="20"/>
        </w:rPr>
        <w:t>один 6</w:t>
      </w:r>
      <w:r w:rsidRPr="001D5F1E">
        <w:rPr>
          <w:rFonts w:ascii="Arial" w:hAnsi="Arial" w:cs="Arial"/>
          <w:sz w:val="20"/>
          <w:szCs w:val="20"/>
        </w:rPr>
        <w:t>-этажны</w:t>
      </w:r>
      <w:r w:rsidR="00A31621">
        <w:rPr>
          <w:rFonts w:ascii="Arial" w:hAnsi="Arial" w:cs="Arial"/>
          <w:sz w:val="20"/>
          <w:szCs w:val="20"/>
        </w:rPr>
        <w:t>й, один 7-этажный, один 9-этажный</w:t>
      </w:r>
      <w:r w:rsidRPr="001D5F1E">
        <w:rPr>
          <w:rFonts w:ascii="Arial" w:hAnsi="Arial" w:cs="Arial"/>
          <w:sz w:val="20"/>
          <w:szCs w:val="20"/>
        </w:rPr>
        <w:t xml:space="preserve">) общей площадью свыше </w:t>
      </w:r>
      <w:r w:rsidR="00A31621">
        <w:rPr>
          <w:rFonts w:ascii="Arial" w:hAnsi="Arial" w:cs="Arial"/>
          <w:sz w:val="20"/>
          <w:szCs w:val="20"/>
        </w:rPr>
        <w:t>95</w:t>
      </w:r>
      <w:r w:rsidRPr="001D5F1E">
        <w:rPr>
          <w:rFonts w:ascii="Arial" w:hAnsi="Arial" w:cs="Arial"/>
          <w:sz w:val="20"/>
          <w:szCs w:val="20"/>
        </w:rPr>
        <w:t xml:space="preserve"> тыс.кв.м.</w:t>
      </w:r>
    </w:p>
    <w:p w:rsidR="00A31621" w:rsidRPr="003E390C" w:rsidRDefault="00A31621" w:rsidP="00A31621">
      <w:pPr>
        <w:ind w:firstLine="708"/>
        <w:jc w:val="both"/>
        <w:rPr>
          <w:rFonts w:ascii="Arial" w:hAnsi="Arial" w:cs="Arial"/>
          <w:sz w:val="20"/>
          <w:szCs w:val="20"/>
        </w:rPr>
      </w:pPr>
      <w:r w:rsidRPr="003E390C">
        <w:rPr>
          <w:rFonts w:ascii="Arial" w:hAnsi="Arial" w:cs="Arial"/>
          <w:sz w:val="20"/>
          <w:szCs w:val="20"/>
        </w:rPr>
        <w:t>Ниже представлена сводная статистика общего числа построенных домов в</w:t>
      </w:r>
      <w:r w:rsidRPr="003E390C">
        <w:rPr>
          <w:rStyle w:val="apple-converted-space"/>
          <w:rFonts w:ascii="Arial" w:hAnsi="Arial" w:cs="Arial"/>
          <w:color w:val="000000"/>
          <w:sz w:val="20"/>
          <w:szCs w:val="20"/>
        </w:rPr>
        <w:t> </w:t>
      </w:r>
      <w:r w:rsidRPr="003E390C">
        <w:rPr>
          <w:rStyle w:val="afc"/>
          <w:rFonts w:ascii="Arial" w:hAnsi="Arial" w:cs="Arial"/>
          <w:b w:val="0"/>
          <w:color w:val="000000"/>
          <w:sz w:val="20"/>
          <w:szCs w:val="20"/>
        </w:rPr>
        <w:t>Элисте</w:t>
      </w:r>
      <w:r w:rsidRPr="003E390C">
        <w:rPr>
          <w:rStyle w:val="apple-converted-space"/>
          <w:rFonts w:ascii="Arial" w:hAnsi="Arial" w:cs="Arial"/>
          <w:color w:val="000000"/>
          <w:sz w:val="20"/>
          <w:szCs w:val="20"/>
        </w:rPr>
        <w:t> </w:t>
      </w:r>
      <w:r w:rsidRPr="003E390C">
        <w:rPr>
          <w:rFonts w:ascii="Arial" w:hAnsi="Arial" w:cs="Arial"/>
          <w:sz w:val="20"/>
          <w:szCs w:val="20"/>
        </w:rPr>
        <w:t>с указанием суммарной площади по годам.</w:t>
      </w:r>
    </w:p>
    <w:tbl>
      <w:tblPr>
        <w:tblW w:w="5000" w:type="pct"/>
        <w:tblLayout w:type="fixed"/>
        <w:tblCellMar>
          <w:top w:w="15" w:type="dxa"/>
          <w:left w:w="15" w:type="dxa"/>
          <w:bottom w:w="15" w:type="dxa"/>
          <w:right w:w="15" w:type="dxa"/>
        </w:tblCellMar>
        <w:tblLook w:val="04A0"/>
      </w:tblPr>
      <w:tblGrid>
        <w:gridCol w:w="1207"/>
        <w:gridCol w:w="1608"/>
        <w:gridCol w:w="1083"/>
        <w:gridCol w:w="1282"/>
        <w:gridCol w:w="1314"/>
        <w:gridCol w:w="1449"/>
        <w:gridCol w:w="1652"/>
      </w:tblGrid>
      <w:tr w:rsidR="00A31621" w:rsidRPr="003E390C" w:rsidTr="003E390C">
        <w:trPr>
          <w:tblHeader/>
        </w:trPr>
        <w:tc>
          <w:tcPr>
            <w:tcW w:w="2087"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Год постройки</w:t>
            </w:r>
          </w:p>
        </w:tc>
        <w:tc>
          <w:tcPr>
            <w:tcW w:w="2858"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Суммарная площадь, кв.м.</w:t>
            </w:r>
          </w:p>
        </w:tc>
        <w:tc>
          <w:tcPr>
            <w:tcW w:w="1845"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Число домов</w:t>
            </w:r>
          </w:p>
        </w:tc>
        <w:tc>
          <w:tcPr>
            <w:tcW w:w="2229"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Кол-во квартир</w:t>
            </w:r>
          </w:p>
        </w:tc>
        <w:tc>
          <w:tcPr>
            <w:tcW w:w="2290"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Жилая площадь</w:t>
            </w:r>
            <w:r w:rsidR="003E390C" w:rsidRPr="003E390C">
              <w:rPr>
                <w:rFonts w:ascii="Arial" w:hAnsi="Arial" w:cs="Arial"/>
                <w:b/>
                <w:bCs/>
                <w:sz w:val="20"/>
                <w:szCs w:val="20"/>
              </w:rPr>
              <w:t>, кв.м.</w:t>
            </w:r>
          </w:p>
        </w:tc>
        <w:tc>
          <w:tcPr>
            <w:tcW w:w="2550"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Нежилая площадь</w:t>
            </w:r>
            <w:r w:rsidR="003E390C" w:rsidRPr="003E390C">
              <w:rPr>
                <w:rFonts w:ascii="Arial" w:hAnsi="Arial" w:cs="Arial"/>
                <w:b/>
                <w:bCs/>
                <w:sz w:val="20"/>
                <w:szCs w:val="20"/>
              </w:rPr>
              <w:t>, кв.м.</w:t>
            </w:r>
          </w:p>
        </w:tc>
        <w:tc>
          <w:tcPr>
            <w:tcW w:w="2941" w:type="dxa"/>
            <w:tcBorders>
              <w:top w:val="nil"/>
              <w:bottom w:val="single" w:sz="12"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center"/>
              <w:rPr>
                <w:rFonts w:ascii="Arial" w:hAnsi="Arial" w:cs="Arial"/>
                <w:b/>
                <w:bCs/>
                <w:sz w:val="20"/>
                <w:szCs w:val="20"/>
              </w:rPr>
            </w:pPr>
            <w:r w:rsidRPr="003E390C">
              <w:rPr>
                <w:rFonts w:ascii="Arial" w:hAnsi="Arial" w:cs="Arial"/>
                <w:b/>
                <w:bCs/>
                <w:sz w:val="20"/>
                <w:szCs w:val="20"/>
              </w:rPr>
              <w:t>Нежилых помещений</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2010 – 2019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418380.33</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106</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5121</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281466.60</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58049.78</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141</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2000 – 2009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116415.34</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37</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1354</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88197.82</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10729.25</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41</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1990 – 1999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222769.45</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51</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3089</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160059.81</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11783.15</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1980 – 1989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480538.21</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112</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6603</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345149.12</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42329.89</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38</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1970 – 1979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423459.72</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110</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6292</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316985.36</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32665.41</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80</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1960 – 1969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172996.75</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61</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3335</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130046.69</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33536.33</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118</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Fonts w:ascii="Arial" w:hAnsi="Arial" w:cs="Arial"/>
                <w:sz w:val="20"/>
                <w:szCs w:val="20"/>
              </w:rPr>
              <w:t>1950 –</w:t>
            </w:r>
            <w:r w:rsidRPr="003E390C">
              <w:rPr>
                <w:rFonts w:ascii="Arial" w:hAnsi="Arial" w:cs="Arial"/>
                <w:sz w:val="20"/>
                <w:szCs w:val="20"/>
              </w:rPr>
              <w:lastRenderedPageBreak/>
              <w:t> 1959</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lastRenderedPageBreak/>
              <w:t>4444.39</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3E390C" w:rsidP="003E390C">
            <w:pPr>
              <w:spacing w:after="270"/>
              <w:jc w:val="right"/>
              <w:rPr>
                <w:rFonts w:ascii="Arial" w:hAnsi="Arial" w:cs="Arial"/>
                <w:sz w:val="20"/>
                <w:szCs w:val="20"/>
              </w:rPr>
            </w:pPr>
            <w:r w:rsidRPr="003E390C">
              <w:rPr>
                <w:rFonts w:ascii="Arial" w:hAnsi="Arial" w:cs="Arial"/>
                <w:sz w:val="20"/>
                <w:szCs w:val="20"/>
              </w:rPr>
              <w:t>2</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40</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2859.43</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Fonts w:ascii="Arial" w:hAnsi="Arial" w:cs="Arial"/>
                <w:sz w:val="20"/>
                <w:szCs w:val="20"/>
              </w:rPr>
              <w:t>—</w:t>
            </w:r>
          </w:p>
        </w:tc>
      </w:tr>
      <w:tr w:rsidR="00A31621" w:rsidRPr="003E390C" w:rsidTr="003E390C">
        <w:tc>
          <w:tcPr>
            <w:tcW w:w="2087"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pPr>
              <w:spacing w:after="270"/>
              <w:rPr>
                <w:rFonts w:ascii="Arial" w:hAnsi="Arial" w:cs="Arial"/>
                <w:sz w:val="20"/>
                <w:szCs w:val="20"/>
              </w:rPr>
            </w:pPr>
            <w:r w:rsidRPr="003E390C">
              <w:rPr>
                <w:rStyle w:val="afc"/>
                <w:rFonts w:ascii="Arial" w:hAnsi="Arial" w:cs="Arial"/>
                <w:sz w:val="20"/>
                <w:szCs w:val="20"/>
              </w:rPr>
              <w:lastRenderedPageBreak/>
              <w:t>Итого</w:t>
            </w:r>
          </w:p>
        </w:tc>
        <w:tc>
          <w:tcPr>
            <w:tcW w:w="2858"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Style w:val="afc"/>
                <w:rFonts w:ascii="Arial" w:hAnsi="Arial" w:cs="Arial"/>
                <w:sz w:val="20"/>
                <w:szCs w:val="20"/>
              </w:rPr>
              <w:t>1</w:t>
            </w:r>
            <w:r w:rsidR="003E390C">
              <w:rPr>
                <w:rStyle w:val="afc"/>
                <w:rFonts w:ascii="Arial" w:hAnsi="Arial" w:cs="Arial"/>
                <w:sz w:val="20"/>
                <w:szCs w:val="20"/>
              </w:rPr>
              <w:t xml:space="preserve"> </w:t>
            </w:r>
            <w:r w:rsidRPr="003E390C">
              <w:rPr>
                <w:rStyle w:val="afc"/>
                <w:rFonts w:ascii="Arial" w:hAnsi="Arial" w:cs="Arial"/>
                <w:sz w:val="20"/>
                <w:szCs w:val="20"/>
              </w:rPr>
              <w:t>839</w:t>
            </w:r>
            <w:r w:rsidR="003E390C">
              <w:rPr>
                <w:rStyle w:val="afc"/>
                <w:rFonts w:ascii="Arial" w:hAnsi="Arial" w:cs="Arial"/>
                <w:sz w:val="20"/>
                <w:szCs w:val="20"/>
              </w:rPr>
              <w:t xml:space="preserve"> </w:t>
            </w:r>
            <w:r w:rsidRPr="003E390C">
              <w:rPr>
                <w:rStyle w:val="afc"/>
                <w:rFonts w:ascii="Arial" w:hAnsi="Arial" w:cs="Arial"/>
                <w:sz w:val="20"/>
                <w:szCs w:val="20"/>
              </w:rPr>
              <w:t>004</w:t>
            </w:r>
          </w:p>
        </w:tc>
        <w:tc>
          <w:tcPr>
            <w:tcW w:w="1845"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Style w:val="afc"/>
                <w:rFonts w:ascii="Arial" w:hAnsi="Arial" w:cs="Arial"/>
                <w:sz w:val="20"/>
                <w:szCs w:val="20"/>
              </w:rPr>
              <w:t>479</w:t>
            </w:r>
          </w:p>
        </w:tc>
        <w:tc>
          <w:tcPr>
            <w:tcW w:w="2229"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Style w:val="afc"/>
                <w:rFonts w:ascii="Arial" w:hAnsi="Arial" w:cs="Arial"/>
                <w:sz w:val="20"/>
                <w:szCs w:val="20"/>
              </w:rPr>
              <w:t>25</w:t>
            </w:r>
            <w:r w:rsidR="003E390C">
              <w:rPr>
                <w:rStyle w:val="afc"/>
                <w:rFonts w:ascii="Arial" w:hAnsi="Arial" w:cs="Arial"/>
                <w:sz w:val="20"/>
                <w:szCs w:val="20"/>
              </w:rPr>
              <w:t xml:space="preserve"> </w:t>
            </w:r>
            <w:r w:rsidRPr="003E390C">
              <w:rPr>
                <w:rStyle w:val="afc"/>
                <w:rFonts w:ascii="Arial" w:hAnsi="Arial" w:cs="Arial"/>
                <w:sz w:val="20"/>
                <w:szCs w:val="20"/>
              </w:rPr>
              <w:t>834</w:t>
            </w:r>
          </w:p>
        </w:tc>
        <w:tc>
          <w:tcPr>
            <w:tcW w:w="229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Style w:val="afc"/>
                <w:rFonts w:ascii="Arial" w:hAnsi="Arial" w:cs="Arial"/>
                <w:sz w:val="20"/>
                <w:szCs w:val="20"/>
              </w:rPr>
              <w:t>1</w:t>
            </w:r>
            <w:r w:rsidR="003E390C">
              <w:rPr>
                <w:rStyle w:val="afc"/>
                <w:rFonts w:ascii="Arial" w:hAnsi="Arial" w:cs="Arial"/>
                <w:sz w:val="20"/>
                <w:szCs w:val="20"/>
              </w:rPr>
              <w:t xml:space="preserve"> </w:t>
            </w:r>
            <w:r w:rsidRPr="003E390C">
              <w:rPr>
                <w:rStyle w:val="afc"/>
                <w:rFonts w:ascii="Arial" w:hAnsi="Arial" w:cs="Arial"/>
                <w:sz w:val="20"/>
                <w:szCs w:val="20"/>
              </w:rPr>
              <w:t>324</w:t>
            </w:r>
            <w:r w:rsidR="003E390C">
              <w:rPr>
                <w:rStyle w:val="afc"/>
                <w:rFonts w:ascii="Arial" w:hAnsi="Arial" w:cs="Arial"/>
                <w:sz w:val="20"/>
                <w:szCs w:val="20"/>
              </w:rPr>
              <w:t xml:space="preserve"> </w:t>
            </w:r>
            <w:r w:rsidRPr="003E390C">
              <w:rPr>
                <w:rStyle w:val="afc"/>
                <w:rFonts w:ascii="Arial" w:hAnsi="Arial" w:cs="Arial"/>
                <w:sz w:val="20"/>
                <w:szCs w:val="20"/>
              </w:rPr>
              <w:t>764</w:t>
            </w:r>
          </w:p>
        </w:tc>
        <w:tc>
          <w:tcPr>
            <w:tcW w:w="2550"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Style w:val="afc"/>
                <w:rFonts w:ascii="Arial" w:hAnsi="Arial" w:cs="Arial"/>
                <w:sz w:val="20"/>
                <w:szCs w:val="20"/>
              </w:rPr>
              <w:t>189</w:t>
            </w:r>
            <w:r w:rsidR="003E390C">
              <w:rPr>
                <w:rStyle w:val="afc"/>
                <w:rFonts w:ascii="Arial" w:hAnsi="Arial" w:cs="Arial"/>
                <w:sz w:val="20"/>
                <w:szCs w:val="20"/>
              </w:rPr>
              <w:t xml:space="preserve"> </w:t>
            </w:r>
            <w:r w:rsidRPr="003E390C">
              <w:rPr>
                <w:rStyle w:val="afc"/>
                <w:rFonts w:ascii="Arial" w:hAnsi="Arial" w:cs="Arial"/>
                <w:sz w:val="20"/>
                <w:szCs w:val="20"/>
              </w:rPr>
              <w:t>093</w:t>
            </w:r>
          </w:p>
        </w:tc>
        <w:tc>
          <w:tcPr>
            <w:tcW w:w="2941" w:type="dxa"/>
            <w:tcBorders>
              <w:top w:val="single" w:sz="6" w:space="0" w:color="DDDDDD"/>
            </w:tcBorders>
            <w:shd w:val="clear" w:color="auto" w:fill="auto"/>
            <w:tcMar>
              <w:top w:w="120" w:type="dxa"/>
              <w:left w:w="120" w:type="dxa"/>
              <w:bottom w:w="120" w:type="dxa"/>
              <w:right w:w="120" w:type="dxa"/>
            </w:tcMar>
            <w:hideMark/>
          </w:tcPr>
          <w:p w:rsidR="00A31621" w:rsidRPr="003E390C" w:rsidRDefault="00A31621" w:rsidP="003E390C">
            <w:pPr>
              <w:spacing w:after="270"/>
              <w:jc w:val="right"/>
              <w:rPr>
                <w:rFonts w:ascii="Arial" w:hAnsi="Arial" w:cs="Arial"/>
                <w:sz w:val="20"/>
                <w:szCs w:val="20"/>
              </w:rPr>
            </w:pPr>
            <w:r w:rsidRPr="003E390C">
              <w:rPr>
                <w:rStyle w:val="afc"/>
                <w:rFonts w:ascii="Arial" w:hAnsi="Arial" w:cs="Arial"/>
                <w:sz w:val="20"/>
                <w:szCs w:val="20"/>
              </w:rPr>
              <w:t>422</w:t>
            </w:r>
          </w:p>
        </w:tc>
      </w:tr>
    </w:tbl>
    <w:p w:rsidR="00162FCF" w:rsidRDefault="00162FCF" w:rsidP="000B2A8F">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 и рынок домовладе</w:t>
      </w:r>
      <w:r>
        <w:rPr>
          <w:rFonts w:ascii="Arial" w:hAnsi="Arial" w:cs="Arial"/>
          <w:sz w:val="20"/>
          <w:szCs w:val="20"/>
        </w:rPr>
        <w:t xml:space="preserve">ний. </w:t>
      </w:r>
    </w:p>
    <w:p w:rsidR="00162FCF" w:rsidRDefault="00162FCF" w:rsidP="00162FCF">
      <w:pPr>
        <w:ind w:firstLine="709"/>
        <w:jc w:val="both"/>
        <w:rPr>
          <w:rFonts w:ascii="Arial" w:hAnsi="Arial" w:cs="Arial"/>
          <w:sz w:val="20"/>
          <w:szCs w:val="20"/>
        </w:rPr>
      </w:pPr>
      <w:r w:rsidRPr="00553033">
        <w:rPr>
          <w:rFonts w:ascii="Arial" w:hAnsi="Arial" w:cs="Arial"/>
          <w:sz w:val="20"/>
          <w:szCs w:val="20"/>
        </w:rPr>
        <w:t>Земельные участки</w:t>
      </w:r>
      <w:r>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Pr>
          <w:rFonts w:ascii="Arial" w:hAnsi="Arial" w:cs="Arial"/>
          <w:sz w:val="20"/>
          <w:szCs w:val="20"/>
        </w:rPr>
        <w:t>.</w:t>
      </w:r>
    </w:p>
    <w:p w:rsidR="00162FCF" w:rsidRPr="00553033" w:rsidRDefault="00162FCF" w:rsidP="00162FCF">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Pr>
          <w:rFonts w:ascii="Arial" w:hAnsi="Arial" w:cs="Arial"/>
          <w:sz w:val="20"/>
          <w:szCs w:val="20"/>
        </w:rPr>
        <w:t>представлена</w:t>
      </w:r>
      <w:r w:rsidRPr="00553033">
        <w:rPr>
          <w:rFonts w:ascii="Arial" w:hAnsi="Arial" w:cs="Arial"/>
          <w:sz w:val="20"/>
          <w:szCs w:val="20"/>
        </w:rPr>
        <w:t xml:space="preserve"> торгово-офисн</w:t>
      </w:r>
      <w:r>
        <w:rPr>
          <w:rFonts w:ascii="Arial" w:hAnsi="Arial" w:cs="Arial"/>
          <w:sz w:val="20"/>
          <w:szCs w:val="20"/>
        </w:rPr>
        <w:t>ой</w:t>
      </w:r>
      <w:r w:rsidRPr="00553033">
        <w:rPr>
          <w:rFonts w:ascii="Arial" w:hAnsi="Arial" w:cs="Arial"/>
          <w:sz w:val="20"/>
          <w:szCs w:val="20"/>
        </w:rPr>
        <w:t xml:space="preserve"> и производственно-складск</w:t>
      </w:r>
      <w:r>
        <w:rPr>
          <w:rFonts w:ascii="Arial" w:hAnsi="Arial" w:cs="Arial"/>
          <w:sz w:val="20"/>
          <w:szCs w:val="20"/>
        </w:rPr>
        <w:t>ой</w:t>
      </w:r>
      <w:r w:rsidRPr="00553033">
        <w:rPr>
          <w:rFonts w:ascii="Arial" w:hAnsi="Arial" w:cs="Arial"/>
          <w:sz w:val="20"/>
          <w:szCs w:val="20"/>
        </w:rPr>
        <w:t>.</w:t>
      </w:r>
    </w:p>
    <w:p w:rsidR="00162FCF" w:rsidRPr="00CC1B3D" w:rsidRDefault="00162FCF" w:rsidP="00162FCF">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w:t>
      </w:r>
      <w:r>
        <w:rPr>
          <w:rFonts w:ascii="Arial" w:hAnsi="Arial" w:cs="Arial"/>
          <w:sz w:val="20"/>
          <w:szCs w:val="20"/>
        </w:rPr>
        <w:t>г. Элиста</w:t>
      </w:r>
      <w:r w:rsidRPr="00CC1B3D">
        <w:rPr>
          <w:rFonts w:ascii="Arial" w:hAnsi="Arial" w:cs="Arial"/>
          <w:sz w:val="20"/>
          <w:szCs w:val="20"/>
        </w:rPr>
        <w:t xml:space="preserve">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r>
        <w:rPr>
          <w:rFonts w:ascii="Arial" w:hAnsi="Arial" w:cs="Arial"/>
          <w:sz w:val="20"/>
          <w:szCs w:val="20"/>
        </w:rPr>
        <w:t>Центр, микрорайоны новой застройки – 9-й, 8-й, 7-й, 6-й, микрорайоны старой застройки – 1-й, 2-й, 3-й, 4-й, 5-й, районы домовладений (частной застройки) – Южный, Северный, Северо-Западный</w:t>
      </w:r>
      <w:r w:rsidRPr="004D52AE">
        <w:rPr>
          <w:rFonts w:ascii="Arial" w:hAnsi="Arial" w:cs="Arial"/>
          <w:sz w:val="20"/>
          <w:szCs w:val="20"/>
        </w:rPr>
        <w:t>.</w:t>
      </w:r>
    </w:p>
    <w:p w:rsidR="00162FCF" w:rsidRPr="00CC1B3D" w:rsidRDefault="00162FCF" w:rsidP="00162FCF">
      <w:pPr>
        <w:ind w:firstLine="709"/>
        <w:jc w:val="both"/>
        <w:rPr>
          <w:rFonts w:ascii="Arial" w:hAnsi="Arial" w:cs="Arial"/>
          <w:sz w:val="20"/>
          <w:szCs w:val="20"/>
        </w:rPr>
      </w:pPr>
      <w:r>
        <w:rPr>
          <w:rFonts w:ascii="Arial" w:hAnsi="Arial" w:cs="Arial"/>
          <w:sz w:val="20"/>
          <w:szCs w:val="20"/>
        </w:rPr>
        <w:t xml:space="preserve">Интервал </w:t>
      </w:r>
      <w:r w:rsidRPr="00CC1B3D">
        <w:rPr>
          <w:rFonts w:ascii="Arial" w:hAnsi="Arial" w:cs="Arial"/>
          <w:sz w:val="20"/>
          <w:szCs w:val="20"/>
        </w:rPr>
        <w:t xml:space="preserve">исследования </w:t>
      </w:r>
      <w:r>
        <w:rPr>
          <w:rFonts w:ascii="Arial" w:hAnsi="Arial" w:cs="Arial"/>
          <w:sz w:val="20"/>
          <w:szCs w:val="20"/>
        </w:rPr>
        <w:t>составляет</w:t>
      </w:r>
      <w:r w:rsidRPr="00CC1B3D">
        <w:rPr>
          <w:rFonts w:ascii="Arial" w:hAnsi="Arial" w:cs="Arial"/>
          <w:sz w:val="20"/>
          <w:szCs w:val="20"/>
        </w:rPr>
        <w:t xml:space="preserve"> 2 месяца</w:t>
      </w:r>
      <w:r>
        <w:rPr>
          <w:rFonts w:ascii="Arial" w:hAnsi="Arial" w:cs="Arial"/>
          <w:sz w:val="20"/>
          <w:szCs w:val="20"/>
        </w:rPr>
        <w:t>. И</w:t>
      </w:r>
      <w:r w:rsidRPr="00CC1B3D">
        <w:rPr>
          <w:rFonts w:ascii="Arial" w:hAnsi="Arial" w:cs="Arial"/>
          <w:sz w:val="20"/>
          <w:szCs w:val="20"/>
        </w:rPr>
        <w:t xml:space="preserve">сследуемый интервал – </w:t>
      </w:r>
      <w:r>
        <w:rPr>
          <w:rFonts w:ascii="Arial" w:hAnsi="Arial" w:cs="Arial"/>
          <w:sz w:val="20"/>
          <w:szCs w:val="20"/>
          <w:u w:val="single"/>
        </w:rPr>
        <w:t xml:space="preserve">май-июнь </w:t>
      </w:r>
      <w:r w:rsidRPr="00CC1B3D">
        <w:rPr>
          <w:rFonts w:ascii="Arial" w:hAnsi="Arial" w:cs="Arial"/>
          <w:sz w:val="20"/>
          <w:szCs w:val="20"/>
          <w:u w:val="single"/>
        </w:rPr>
        <w:t>201</w:t>
      </w:r>
      <w:r>
        <w:rPr>
          <w:rFonts w:ascii="Arial" w:hAnsi="Arial" w:cs="Arial"/>
          <w:sz w:val="20"/>
          <w:szCs w:val="20"/>
          <w:u w:val="single"/>
        </w:rPr>
        <w:t>8</w:t>
      </w:r>
      <w:r w:rsidRPr="00CC1B3D">
        <w:rPr>
          <w:rFonts w:ascii="Arial" w:hAnsi="Arial" w:cs="Arial"/>
          <w:sz w:val="20"/>
          <w:szCs w:val="20"/>
          <w:u w:val="single"/>
        </w:rPr>
        <w:t xml:space="preserve"> года</w:t>
      </w:r>
      <w:r>
        <w:rPr>
          <w:rFonts w:ascii="Arial" w:hAnsi="Arial" w:cs="Arial"/>
          <w:sz w:val="20"/>
          <w:szCs w:val="20"/>
          <w:u w:val="single"/>
        </w:rPr>
        <w:t>.</w:t>
      </w:r>
    </w:p>
    <w:p w:rsidR="00162FCF" w:rsidRPr="00CC1B3D" w:rsidRDefault="00162FCF" w:rsidP="00162FC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162FCF" w:rsidRPr="00CC1B3D" w:rsidRDefault="00162FCF" w:rsidP="00162FCF">
      <w:pPr>
        <w:ind w:firstLine="540"/>
        <w:jc w:val="center"/>
        <w:rPr>
          <w:rFonts w:ascii="Arial" w:hAnsi="Arial" w:cs="Arial"/>
          <w:sz w:val="20"/>
          <w:szCs w:val="20"/>
        </w:rPr>
      </w:pPr>
      <w:r>
        <w:rPr>
          <w:noProof/>
        </w:rPr>
        <w:drawing>
          <wp:inline distT="0" distB="0" distL="0" distR="0">
            <wp:extent cx="4335780" cy="2238375"/>
            <wp:effectExtent l="19050" t="0" r="2667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FCF" w:rsidRPr="00F4060D" w:rsidRDefault="00162FCF" w:rsidP="00162FCF">
      <w:pPr>
        <w:keepNext/>
        <w:ind w:firstLine="540"/>
        <w:jc w:val="center"/>
        <w:rPr>
          <w:rFonts w:ascii="Arial" w:hAnsi="Arial" w:cs="Arial"/>
          <w:sz w:val="20"/>
          <w:szCs w:val="20"/>
          <w:lang w:val="en-US"/>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D06CB8" w:rsidRDefault="00F873D9" w:rsidP="000C5AB4">
      <w:pPr>
        <w:jc w:val="both"/>
        <w:rPr>
          <w:rFonts w:ascii="Arial" w:hAnsi="Arial" w:cs="Arial"/>
          <w:sz w:val="20"/>
          <w:szCs w:val="20"/>
        </w:rPr>
      </w:pPr>
      <w:r>
        <w:rPr>
          <w:rFonts w:ascii="Arial" w:hAnsi="Arial" w:cs="Arial"/>
          <w:noProof/>
          <w:sz w:val="20"/>
          <w:szCs w:val="20"/>
        </w:rPr>
        <w:drawing>
          <wp:inline distT="0" distB="0" distL="0" distR="0">
            <wp:extent cx="5912934" cy="1371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727" t="19582" r="14698" b="49239"/>
                    <a:stretch>
                      <a:fillRect/>
                    </a:stretch>
                  </pic:blipFill>
                  <pic:spPr bwMode="auto">
                    <a:xfrm>
                      <a:off x="0" y="0"/>
                      <a:ext cx="5912934" cy="1371600"/>
                    </a:xfrm>
                    <a:prstGeom prst="rect">
                      <a:avLst/>
                    </a:prstGeom>
                    <a:noFill/>
                    <a:ln w="9525">
                      <a:noFill/>
                      <a:miter lim="800000"/>
                      <a:headEnd/>
                      <a:tailEnd/>
                    </a:ln>
                  </pic:spPr>
                </pic:pic>
              </a:graphicData>
            </a:graphic>
          </wp:inline>
        </w:drawing>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
        <w:gridCol w:w="1024"/>
        <w:gridCol w:w="1024"/>
        <w:gridCol w:w="1024"/>
        <w:gridCol w:w="1023"/>
        <w:gridCol w:w="1024"/>
        <w:gridCol w:w="1024"/>
        <w:gridCol w:w="1024"/>
        <w:gridCol w:w="1024"/>
      </w:tblGrid>
      <w:tr w:rsidR="000C278A" w:rsidRPr="000C278A" w:rsidTr="000C278A">
        <w:trPr>
          <w:cantSplit/>
          <w:trHeight w:val="1134"/>
        </w:trPr>
        <w:tc>
          <w:tcPr>
            <w:tcW w:w="1023" w:type="dxa"/>
            <w:textDirection w:val="btLr"/>
            <w:vAlign w:val="bottom"/>
          </w:tcPr>
          <w:p w:rsidR="000C278A" w:rsidRPr="000C278A" w:rsidRDefault="000C278A" w:rsidP="000C278A">
            <w:pPr>
              <w:ind w:left="113" w:right="113"/>
              <w:jc w:val="right"/>
              <w:rPr>
                <w:rFonts w:ascii="Arial" w:hAnsi="Arial" w:cs="Arial"/>
                <w:sz w:val="16"/>
                <w:szCs w:val="16"/>
              </w:rPr>
            </w:pPr>
            <w:r w:rsidRPr="000C278A">
              <w:rPr>
                <w:rFonts w:ascii="Arial" w:hAnsi="Arial" w:cs="Arial"/>
                <w:sz w:val="16"/>
                <w:szCs w:val="16"/>
              </w:rPr>
              <w:t>09.03.2015</w:t>
            </w:r>
          </w:p>
          <w:p w:rsidR="000C278A" w:rsidRPr="000C278A" w:rsidRDefault="000C278A" w:rsidP="000C278A">
            <w:pPr>
              <w:ind w:left="113" w:right="113"/>
              <w:jc w:val="right"/>
              <w:rPr>
                <w:rFonts w:ascii="Arial" w:hAnsi="Arial" w:cs="Arial"/>
                <w:sz w:val="16"/>
                <w:szCs w:val="16"/>
              </w:rPr>
            </w:pP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sidRPr="000C278A">
              <w:rPr>
                <w:rFonts w:ascii="Arial" w:hAnsi="Arial" w:cs="Arial"/>
                <w:sz w:val="16"/>
                <w:szCs w:val="16"/>
              </w:rPr>
              <w:t>29.0</w:t>
            </w:r>
            <w:r>
              <w:rPr>
                <w:rFonts w:ascii="Arial" w:hAnsi="Arial" w:cs="Arial"/>
                <w:sz w:val="16"/>
                <w:szCs w:val="16"/>
              </w:rPr>
              <w:t>9</w:t>
            </w:r>
            <w:r w:rsidRPr="000C278A">
              <w:rPr>
                <w:rFonts w:ascii="Arial" w:hAnsi="Arial" w:cs="Arial"/>
                <w:sz w:val="16"/>
                <w:szCs w:val="16"/>
              </w:rPr>
              <w:t>.2015</w:t>
            </w: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23.04.2015</w:t>
            </w: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04.10.2015</w:t>
            </w:r>
          </w:p>
        </w:tc>
        <w:tc>
          <w:tcPr>
            <w:tcW w:w="1023"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29.02.2016</w:t>
            </w: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11.09.2016</w:t>
            </w: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13.05.2017</w:t>
            </w: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25.11.2017</w:t>
            </w:r>
          </w:p>
        </w:tc>
        <w:tc>
          <w:tcPr>
            <w:tcW w:w="1024" w:type="dxa"/>
            <w:textDirection w:val="btLr"/>
            <w:vAlign w:val="bottom"/>
          </w:tcPr>
          <w:p w:rsidR="000C278A" w:rsidRPr="000C278A" w:rsidRDefault="000C278A" w:rsidP="000C278A">
            <w:pPr>
              <w:ind w:left="113" w:right="113"/>
              <w:jc w:val="right"/>
              <w:rPr>
                <w:rFonts w:ascii="Arial" w:hAnsi="Arial" w:cs="Arial"/>
                <w:sz w:val="16"/>
                <w:szCs w:val="16"/>
              </w:rPr>
            </w:pPr>
            <w:r>
              <w:rPr>
                <w:rFonts w:ascii="Arial" w:hAnsi="Arial" w:cs="Arial"/>
                <w:sz w:val="16"/>
                <w:szCs w:val="16"/>
              </w:rPr>
              <w:t>03.07.2018</w:t>
            </w:r>
          </w:p>
        </w:tc>
      </w:tr>
    </w:tbl>
    <w:p w:rsidR="00EE000B" w:rsidRDefault="00EE000B" w:rsidP="00EE000B">
      <w:pPr>
        <w:spacing w:after="240"/>
        <w:jc w:val="both"/>
        <w:rPr>
          <w:rFonts w:ascii="Arial" w:hAnsi="Arial" w:cs="Arial"/>
          <w:sz w:val="20"/>
          <w:szCs w:val="20"/>
        </w:rPr>
        <w:sectPr w:rsidR="00EE000B" w:rsidSect="0016047E">
          <w:pgSz w:w="11906" w:h="16838"/>
          <w:pgMar w:top="1134" w:right="850" w:bottom="1134" w:left="1701" w:header="708" w:footer="708" w:gutter="0"/>
          <w:cols w:space="708"/>
          <w:docGrid w:linePitch="360"/>
        </w:sectPr>
      </w:pPr>
    </w:p>
    <w:p w:rsidR="00EE000B" w:rsidRPr="00CC1B3D" w:rsidRDefault="00EE000B" w:rsidP="00EE000B">
      <w:pPr>
        <w:keepNext/>
        <w:ind w:firstLine="540"/>
        <w:jc w:val="center"/>
        <w:rPr>
          <w:rFonts w:ascii="Arial" w:hAnsi="Arial" w:cs="Arial"/>
          <w:sz w:val="20"/>
          <w:szCs w:val="20"/>
        </w:rPr>
      </w:pPr>
    </w:p>
    <w:p w:rsidR="00EE000B" w:rsidRDefault="00EE000B" w:rsidP="00EE000B">
      <w:pPr>
        <w:keepNext/>
        <w:spacing w:after="240"/>
        <w:jc w:val="center"/>
      </w:pPr>
      <w:r w:rsidRPr="00A57642">
        <w:rPr>
          <w:rFonts w:ascii="Arial" w:hAnsi="Arial" w:cs="Arial"/>
          <w:noProof/>
          <w:sz w:val="20"/>
          <w:szCs w:val="20"/>
        </w:rPr>
        <w:drawing>
          <wp:inline distT="0" distB="0" distL="0" distR="0">
            <wp:extent cx="4572000" cy="27432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000B" w:rsidRDefault="00EE000B" w:rsidP="00EE000B">
      <w:pPr>
        <w:pStyle w:val="ac"/>
        <w:jc w:val="center"/>
      </w:pPr>
      <w:r>
        <w:t xml:space="preserve">Рисунок </w:t>
      </w:r>
      <w:fldSimple w:instr=" SEQ Рисунок \* ARABIC ">
        <w:r w:rsidR="00225215">
          <w:rPr>
            <w:noProof/>
          </w:rPr>
          <w:t>1</w:t>
        </w:r>
      </w:fldSimple>
      <w:r>
        <w:t xml:space="preserve"> </w:t>
      </w:r>
      <w:r w:rsidRPr="00133EBB">
        <w:t>Структура предложени</w:t>
      </w:r>
      <w:r>
        <w:t>я</w:t>
      </w:r>
      <w:r w:rsidRPr="00133EBB">
        <w:t xml:space="preserve"> согласно сегментированию по количеству комнат</w:t>
      </w:r>
    </w:p>
    <w:p w:rsidR="00EE000B" w:rsidRPr="00746776" w:rsidRDefault="00EE000B" w:rsidP="00EE000B"/>
    <w:p w:rsidR="004D52AE" w:rsidRDefault="00EE000B" w:rsidP="00EE000B">
      <w:pPr>
        <w:spacing w:after="240"/>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Pr>
          <w:rFonts w:ascii="Arial" w:hAnsi="Arial" w:cs="Arial"/>
          <w:sz w:val="20"/>
          <w:szCs w:val="20"/>
        </w:rPr>
        <w:t>июне</w:t>
      </w:r>
      <w:r w:rsidRPr="00CC1B3D">
        <w:rPr>
          <w:rFonts w:ascii="Arial" w:hAnsi="Arial" w:cs="Arial"/>
          <w:sz w:val="20"/>
          <w:szCs w:val="20"/>
        </w:rPr>
        <w:t xml:space="preserve"> 201</w:t>
      </w:r>
      <w:r>
        <w:rPr>
          <w:rFonts w:ascii="Arial" w:hAnsi="Arial" w:cs="Arial"/>
          <w:sz w:val="20"/>
          <w:szCs w:val="20"/>
        </w:rPr>
        <w:t>8</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r w:rsidR="00903694">
        <w:rPr>
          <w:rFonts w:ascii="Arial" w:hAnsi="Arial" w:cs="Arial"/>
          <w:sz w:val="20"/>
          <w:szCs w:val="20"/>
        </w:rPr>
        <w:t xml:space="preserve"> (руб./кв.м.)</w:t>
      </w:r>
      <w:r w:rsidRPr="00CC1B3D">
        <w:rPr>
          <w:rFonts w:ascii="Arial" w:hAnsi="Arial" w:cs="Arial"/>
          <w:sz w:val="20"/>
          <w:szCs w:val="20"/>
        </w:rPr>
        <w:t>.</w:t>
      </w:r>
    </w:p>
    <w:tbl>
      <w:tblPr>
        <w:tblStyle w:val="-"/>
        <w:tblW w:w="5000" w:type="pct"/>
        <w:tblBorders>
          <w:insideH w:val="single" w:sz="4" w:space="0" w:color="D9D9D9" w:themeColor="background1" w:themeShade="D9"/>
        </w:tblBorders>
        <w:tblLayout w:type="fixed"/>
        <w:tblLook w:val="04A0"/>
      </w:tblPr>
      <w:tblGrid>
        <w:gridCol w:w="1952"/>
        <w:gridCol w:w="1310"/>
        <w:gridCol w:w="1952"/>
        <w:gridCol w:w="1301"/>
        <w:gridCol w:w="2100"/>
        <w:gridCol w:w="1153"/>
        <w:gridCol w:w="1964"/>
        <w:gridCol w:w="1289"/>
        <w:gridCol w:w="1765"/>
      </w:tblGrid>
      <w:tr w:rsidR="00EE000B" w:rsidRPr="004D52AE" w:rsidTr="006D5D22">
        <w:trPr>
          <w:cnfStyle w:val="100000000000"/>
          <w:trHeight w:val="20"/>
        </w:trPr>
        <w:tc>
          <w:tcPr>
            <w:cnfStyle w:val="001000000000"/>
            <w:tcW w:w="1103" w:type="pct"/>
            <w:gridSpan w:val="2"/>
            <w:shd w:val="clear" w:color="auto" w:fill="D9D9D9" w:themeFill="background1" w:themeFillShade="D9"/>
            <w:vAlign w:val="center"/>
            <w:hideMark/>
          </w:tcPr>
          <w:p w:rsidR="00EE000B" w:rsidRPr="004D52AE" w:rsidRDefault="00EE000B" w:rsidP="006D5D22">
            <w:pPr>
              <w:rPr>
                <w:rFonts w:ascii="Arial" w:hAnsi="Arial" w:cs="Arial"/>
                <w:b w:val="0"/>
                <w:bCs/>
                <w:color w:val="auto"/>
                <w:sz w:val="20"/>
                <w:szCs w:val="20"/>
              </w:rPr>
            </w:pPr>
            <w:r w:rsidRPr="004D52AE">
              <w:rPr>
                <w:rFonts w:ascii="Arial" w:hAnsi="Arial" w:cs="Arial"/>
                <w:b w:val="0"/>
                <w:bCs/>
                <w:color w:val="auto"/>
                <w:sz w:val="20"/>
                <w:szCs w:val="20"/>
              </w:rPr>
              <w:t>1-комнатные квартиры</w:t>
            </w:r>
          </w:p>
        </w:tc>
        <w:tc>
          <w:tcPr>
            <w:tcW w:w="1100" w:type="pct"/>
            <w:gridSpan w:val="2"/>
            <w:shd w:val="clear" w:color="auto" w:fill="D9D9D9" w:themeFill="background1" w:themeFillShade="D9"/>
            <w:vAlign w:val="center"/>
            <w:hideMark/>
          </w:tcPr>
          <w:p w:rsidR="00EE000B" w:rsidRPr="004D52AE" w:rsidRDefault="00EE000B" w:rsidP="006D5D22">
            <w:pPr>
              <w:cnfStyle w:val="100000000000"/>
              <w:rPr>
                <w:rFonts w:ascii="Arial" w:hAnsi="Arial" w:cs="Arial"/>
                <w:b w:val="0"/>
                <w:bCs/>
                <w:color w:val="auto"/>
                <w:sz w:val="20"/>
                <w:szCs w:val="20"/>
              </w:rPr>
            </w:pPr>
            <w:r w:rsidRPr="004D52AE">
              <w:rPr>
                <w:rFonts w:ascii="Arial" w:hAnsi="Arial" w:cs="Arial"/>
                <w:b w:val="0"/>
                <w:bCs/>
                <w:color w:val="auto"/>
                <w:sz w:val="20"/>
                <w:szCs w:val="20"/>
              </w:rPr>
              <w:t>2-комнатныеквартиры</w:t>
            </w:r>
          </w:p>
        </w:tc>
        <w:tc>
          <w:tcPr>
            <w:tcW w:w="1100" w:type="pct"/>
            <w:gridSpan w:val="2"/>
            <w:shd w:val="clear" w:color="auto" w:fill="D9D9D9" w:themeFill="background1" w:themeFillShade="D9"/>
            <w:vAlign w:val="center"/>
            <w:hideMark/>
          </w:tcPr>
          <w:p w:rsidR="00EE000B" w:rsidRPr="004D52AE" w:rsidRDefault="00EE000B" w:rsidP="006D5D22">
            <w:pPr>
              <w:cnfStyle w:val="100000000000"/>
              <w:rPr>
                <w:rFonts w:ascii="Arial" w:hAnsi="Arial" w:cs="Arial"/>
                <w:b w:val="0"/>
                <w:bCs/>
                <w:color w:val="auto"/>
                <w:sz w:val="20"/>
                <w:szCs w:val="20"/>
              </w:rPr>
            </w:pPr>
            <w:r w:rsidRPr="004D52AE">
              <w:rPr>
                <w:rFonts w:ascii="Arial" w:hAnsi="Arial" w:cs="Arial"/>
                <w:b w:val="0"/>
                <w:bCs/>
                <w:color w:val="auto"/>
                <w:sz w:val="20"/>
                <w:szCs w:val="20"/>
              </w:rPr>
              <w:t>3-комнатные квартиры</w:t>
            </w:r>
          </w:p>
        </w:tc>
        <w:tc>
          <w:tcPr>
            <w:tcW w:w="1100" w:type="pct"/>
            <w:gridSpan w:val="2"/>
            <w:shd w:val="clear" w:color="auto" w:fill="D9D9D9" w:themeFill="background1" w:themeFillShade="D9"/>
            <w:vAlign w:val="center"/>
            <w:hideMark/>
          </w:tcPr>
          <w:p w:rsidR="00EE000B" w:rsidRPr="004D52AE" w:rsidRDefault="00EE000B" w:rsidP="006D5D22">
            <w:pPr>
              <w:cnfStyle w:val="100000000000"/>
              <w:rPr>
                <w:rFonts w:ascii="Arial" w:hAnsi="Arial" w:cs="Arial"/>
                <w:b w:val="0"/>
                <w:bCs/>
                <w:color w:val="auto"/>
                <w:sz w:val="20"/>
                <w:szCs w:val="20"/>
              </w:rPr>
            </w:pPr>
            <w:r w:rsidRPr="004D52AE">
              <w:rPr>
                <w:rFonts w:ascii="Arial" w:hAnsi="Arial" w:cs="Arial"/>
                <w:b w:val="0"/>
                <w:bCs/>
                <w:color w:val="auto"/>
                <w:sz w:val="20"/>
                <w:szCs w:val="20"/>
              </w:rPr>
              <w:t>многокомнатные квартиры</w:t>
            </w:r>
          </w:p>
        </w:tc>
        <w:tc>
          <w:tcPr>
            <w:tcW w:w="597" w:type="pct"/>
            <w:shd w:val="clear" w:color="auto" w:fill="D9D9D9" w:themeFill="background1" w:themeFillShade="D9"/>
            <w:vAlign w:val="center"/>
            <w:hideMark/>
          </w:tcPr>
          <w:p w:rsidR="00EE000B" w:rsidRPr="004D52AE" w:rsidRDefault="00EE000B" w:rsidP="006D5D22">
            <w:pPr>
              <w:cnfStyle w:val="100000000000"/>
              <w:rPr>
                <w:rFonts w:ascii="Arial" w:hAnsi="Arial" w:cs="Arial"/>
                <w:b w:val="0"/>
                <w:bCs/>
                <w:color w:val="auto"/>
                <w:sz w:val="20"/>
                <w:szCs w:val="20"/>
              </w:rPr>
            </w:pPr>
            <w:r w:rsidRPr="004D52AE">
              <w:rPr>
                <w:rFonts w:ascii="Arial" w:hAnsi="Arial" w:cs="Arial"/>
                <w:b w:val="0"/>
                <w:bCs/>
                <w:color w:val="auto"/>
                <w:sz w:val="20"/>
                <w:szCs w:val="20"/>
              </w:rPr>
              <w:t>Общая ср.</w:t>
            </w:r>
            <w:r>
              <w:rPr>
                <w:rFonts w:ascii="Arial" w:hAnsi="Arial" w:cs="Arial"/>
                <w:b w:val="0"/>
                <w:bCs/>
                <w:color w:val="auto"/>
                <w:sz w:val="20"/>
                <w:szCs w:val="20"/>
              </w:rPr>
              <w:t xml:space="preserve"> </w:t>
            </w:r>
            <w:r w:rsidRPr="004D52AE">
              <w:rPr>
                <w:rFonts w:ascii="Arial" w:hAnsi="Arial" w:cs="Arial"/>
                <w:b w:val="0"/>
                <w:bCs/>
                <w:color w:val="auto"/>
                <w:sz w:val="20"/>
                <w:szCs w:val="20"/>
              </w:rPr>
              <w:t>цена</w:t>
            </w:r>
          </w:p>
        </w:tc>
      </w:tr>
      <w:tr w:rsidR="00EE000B" w:rsidRPr="004D52AE" w:rsidTr="006D5D22">
        <w:trPr>
          <w:trHeight w:val="20"/>
        </w:trPr>
        <w:tc>
          <w:tcPr>
            <w:cnfStyle w:val="001000000000"/>
            <w:tcW w:w="660" w:type="pct"/>
            <w:shd w:val="clear" w:color="auto" w:fill="FFFFFF" w:themeFill="background1"/>
            <w:vAlign w:val="center"/>
            <w:hideMark/>
          </w:tcPr>
          <w:p w:rsidR="00EE000B" w:rsidRPr="004D52AE" w:rsidRDefault="00EE000B" w:rsidP="006D5D22">
            <w:pPr>
              <w:rPr>
                <w:rFonts w:ascii="Arial" w:hAnsi="Arial" w:cs="Arial"/>
                <w:color w:val="auto"/>
                <w:sz w:val="20"/>
                <w:szCs w:val="20"/>
              </w:rPr>
            </w:pPr>
            <w:r w:rsidRPr="004D52AE">
              <w:rPr>
                <w:rFonts w:ascii="Arial" w:hAnsi="Arial" w:cs="Arial"/>
                <w:color w:val="auto"/>
                <w:sz w:val="20"/>
                <w:szCs w:val="20"/>
              </w:rPr>
              <w:t>Диапазон цен</w:t>
            </w:r>
          </w:p>
        </w:tc>
        <w:tc>
          <w:tcPr>
            <w:tcW w:w="443"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ср. цена</w:t>
            </w:r>
          </w:p>
        </w:tc>
        <w:tc>
          <w:tcPr>
            <w:tcW w:w="660"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Диапазон цен</w:t>
            </w:r>
          </w:p>
        </w:tc>
        <w:tc>
          <w:tcPr>
            <w:tcW w:w="440"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ср. цена</w:t>
            </w:r>
          </w:p>
        </w:tc>
        <w:tc>
          <w:tcPr>
            <w:tcW w:w="710"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Диапазон цен</w:t>
            </w:r>
          </w:p>
        </w:tc>
        <w:tc>
          <w:tcPr>
            <w:tcW w:w="390"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ср. цена</w:t>
            </w:r>
          </w:p>
        </w:tc>
        <w:tc>
          <w:tcPr>
            <w:tcW w:w="664"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Диапазон цен</w:t>
            </w:r>
          </w:p>
        </w:tc>
        <w:tc>
          <w:tcPr>
            <w:tcW w:w="436" w:type="pct"/>
            <w:shd w:val="clear" w:color="auto" w:fill="FFFFFF" w:themeFill="background1"/>
            <w:vAlign w:val="center"/>
            <w:hideMark/>
          </w:tcPr>
          <w:p w:rsidR="00EE000B" w:rsidRPr="004D52AE" w:rsidRDefault="00EE000B" w:rsidP="006D5D22">
            <w:pPr>
              <w:cnfStyle w:val="000000000000"/>
              <w:rPr>
                <w:rFonts w:ascii="Arial" w:hAnsi="Arial" w:cs="Arial"/>
                <w:color w:val="auto"/>
                <w:sz w:val="20"/>
                <w:szCs w:val="20"/>
              </w:rPr>
            </w:pPr>
            <w:r w:rsidRPr="004D52AE">
              <w:rPr>
                <w:rFonts w:ascii="Arial" w:hAnsi="Arial" w:cs="Arial"/>
                <w:color w:val="auto"/>
                <w:sz w:val="20"/>
                <w:szCs w:val="20"/>
              </w:rPr>
              <w:t>ср. цена</w:t>
            </w:r>
          </w:p>
        </w:tc>
        <w:tc>
          <w:tcPr>
            <w:tcW w:w="597" w:type="pct"/>
            <w:shd w:val="clear" w:color="auto" w:fill="FFFFFF" w:themeFill="background1"/>
            <w:hideMark/>
          </w:tcPr>
          <w:p w:rsidR="00EE000B" w:rsidRPr="004D52AE" w:rsidRDefault="00EE000B" w:rsidP="006D5D22">
            <w:pPr>
              <w:cnfStyle w:val="000000000000"/>
              <w:rPr>
                <w:rFonts w:ascii="Arial" w:hAnsi="Arial" w:cs="Arial"/>
                <w:b/>
                <w:bCs/>
                <w:color w:val="auto"/>
                <w:sz w:val="20"/>
                <w:szCs w:val="20"/>
              </w:rPr>
            </w:pPr>
          </w:p>
        </w:tc>
      </w:tr>
      <w:tr w:rsidR="00EE000B" w:rsidRPr="004D52AE" w:rsidTr="006D5D22">
        <w:trPr>
          <w:trHeight w:val="20"/>
        </w:trPr>
        <w:tc>
          <w:tcPr>
            <w:cnfStyle w:val="001000000000"/>
            <w:tcW w:w="660" w:type="pct"/>
            <w:vAlign w:val="center"/>
          </w:tcPr>
          <w:p w:rsidR="00EE000B" w:rsidRPr="004D52AE" w:rsidRDefault="00EE000B" w:rsidP="006D5D22">
            <w:pPr>
              <w:rPr>
                <w:rFonts w:ascii="Arial" w:hAnsi="Arial" w:cs="Arial"/>
                <w:b/>
                <w:bCs/>
                <w:color w:val="auto"/>
                <w:sz w:val="20"/>
                <w:szCs w:val="20"/>
              </w:rPr>
            </w:pPr>
            <w:r>
              <w:rPr>
                <w:rFonts w:ascii="Arial" w:hAnsi="Arial" w:cs="Arial"/>
                <w:b/>
                <w:bCs/>
                <w:color w:val="auto"/>
                <w:sz w:val="20"/>
                <w:szCs w:val="20"/>
              </w:rPr>
              <w:t>21</w:t>
            </w:r>
            <w:r w:rsidRPr="004D52AE">
              <w:rPr>
                <w:rFonts w:ascii="Arial" w:hAnsi="Arial" w:cs="Arial"/>
                <w:b/>
                <w:bCs/>
                <w:color w:val="auto"/>
                <w:sz w:val="20"/>
                <w:szCs w:val="20"/>
              </w:rPr>
              <w:t xml:space="preserve"> </w:t>
            </w:r>
            <w:r>
              <w:rPr>
                <w:rFonts w:ascii="Arial" w:hAnsi="Arial" w:cs="Arial"/>
                <w:b/>
                <w:bCs/>
                <w:color w:val="auto"/>
                <w:sz w:val="20"/>
                <w:szCs w:val="20"/>
              </w:rPr>
              <w:t>294</w:t>
            </w:r>
            <w:r w:rsidRPr="004D52AE">
              <w:rPr>
                <w:rFonts w:ascii="Arial" w:hAnsi="Arial" w:cs="Arial"/>
                <w:b/>
                <w:bCs/>
                <w:color w:val="auto"/>
                <w:sz w:val="20"/>
                <w:szCs w:val="20"/>
              </w:rPr>
              <w:t xml:space="preserve"> - </w:t>
            </w:r>
            <w:r>
              <w:rPr>
                <w:rFonts w:ascii="Arial" w:hAnsi="Arial" w:cs="Arial"/>
                <w:b/>
                <w:bCs/>
                <w:color w:val="auto"/>
                <w:sz w:val="20"/>
                <w:szCs w:val="20"/>
              </w:rPr>
              <w:t>51</w:t>
            </w:r>
            <w:r w:rsidRPr="004D52AE">
              <w:rPr>
                <w:rFonts w:ascii="Arial" w:hAnsi="Arial" w:cs="Arial"/>
                <w:b/>
                <w:bCs/>
                <w:color w:val="auto"/>
                <w:sz w:val="20"/>
                <w:szCs w:val="20"/>
              </w:rPr>
              <w:t xml:space="preserve"> </w:t>
            </w:r>
            <w:r>
              <w:rPr>
                <w:rFonts w:ascii="Arial" w:hAnsi="Arial" w:cs="Arial"/>
                <w:b/>
                <w:bCs/>
                <w:color w:val="auto"/>
                <w:sz w:val="20"/>
                <w:szCs w:val="20"/>
              </w:rPr>
              <w:t>064</w:t>
            </w:r>
          </w:p>
        </w:tc>
        <w:tc>
          <w:tcPr>
            <w:tcW w:w="443"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34</w:t>
            </w:r>
            <w:r w:rsidRPr="004D52AE">
              <w:rPr>
                <w:rFonts w:ascii="Arial" w:hAnsi="Arial" w:cs="Arial"/>
                <w:b/>
                <w:bCs/>
                <w:color w:val="auto"/>
                <w:sz w:val="20"/>
                <w:szCs w:val="20"/>
              </w:rPr>
              <w:t xml:space="preserve"> </w:t>
            </w:r>
            <w:r>
              <w:rPr>
                <w:rFonts w:ascii="Arial" w:hAnsi="Arial" w:cs="Arial"/>
                <w:b/>
                <w:bCs/>
                <w:color w:val="auto"/>
                <w:sz w:val="20"/>
                <w:szCs w:val="20"/>
              </w:rPr>
              <w:t>849</w:t>
            </w:r>
          </w:p>
        </w:tc>
        <w:tc>
          <w:tcPr>
            <w:tcW w:w="660"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18</w:t>
            </w:r>
            <w:r w:rsidRPr="004D52AE">
              <w:rPr>
                <w:rFonts w:ascii="Arial" w:hAnsi="Arial" w:cs="Arial"/>
                <w:b/>
                <w:bCs/>
                <w:color w:val="auto"/>
                <w:sz w:val="20"/>
                <w:szCs w:val="20"/>
              </w:rPr>
              <w:t xml:space="preserve"> </w:t>
            </w:r>
            <w:r>
              <w:rPr>
                <w:rFonts w:ascii="Arial" w:hAnsi="Arial" w:cs="Arial"/>
                <w:b/>
                <w:bCs/>
                <w:color w:val="auto"/>
                <w:sz w:val="20"/>
                <w:szCs w:val="20"/>
              </w:rPr>
              <w:t>46</w:t>
            </w:r>
            <w:r w:rsidRPr="004D52AE">
              <w:rPr>
                <w:rFonts w:ascii="Arial" w:hAnsi="Arial" w:cs="Arial"/>
                <w:b/>
                <w:bCs/>
                <w:color w:val="auto"/>
                <w:sz w:val="20"/>
                <w:szCs w:val="20"/>
              </w:rPr>
              <w:t xml:space="preserve">0 - </w:t>
            </w:r>
            <w:r>
              <w:rPr>
                <w:rFonts w:ascii="Arial" w:hAnsi="Arial" w:cs="Arial"/>
                <w:b/>
                <w:bCs/>
                <w:color w:val="auto"/>
                <w:sz w:val="20"/>
                <w:szCs w:val="20"/>
              </w:rPr>
              <w:t>86</w:t>
            </w:r>
            <w:r w:rsidRPr="004D52AE">
              <w:rPr>
                <w:rFonts w:ascii="Arial" w:hAnsi="Arial" w:cs="Arial"/>
                <w:b/>
                <w:bCs/>
                <w:color w:val="auto"/>
                <w:sz w:val="20"/>
                <w:szCs w:val="20"/>
              </w:rPr>
              <w:t xml:space="preserve"> </w:t>
            </w:r>
            <w:r>
              <w:rPr>
                <w:rFonts w:ascii="Arial" w:hAnsi="Arial" w:cs="Arial"/>
                <w:b/>
                <w:bCs/>
                <w:color w:val="auto"/>
                <w:sz w:val="20"/>
                <w:szCs w:val="20"/>
              </w:rPr>
              <w:t>666</w:t>
            </w:r>
          </w:p>
        </w:tc>
        <w:tc>
          <w:tcPr>
            <w:tcW w:w="440"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33</w:t>
            </w:r>
            <w:r w:rsidRPr="004D52AE">
              <w:rPr>
                <w:rFonts w:ascii="Arial" w:hAnsi="Arial" w:cs="Arial"/>
                <w:b/>
                <w:bCs/>
                <w:color w:val="auto"/>
                <w:sz w:val="20"/>
                <w:szCs w:val="20"/>
              </w:rPr>
              <w:t xml:space="preserve"> 7</w:t>
            </w:r>
            <w:r>
              <w:rPr>
                <w:rFonts w:ascii="Arial" w:hAnsi="Arial" w:cs="Arial"/>
                <w:b/>
                <w:bCs/>
                <w:color w:val="auto"/>
                <w:sz w:val="20"/>
                <w:szCs w:val="20"/>
              </w:rPr>
              <w:t>30</w:t>
            </w:r>
          </w:p>
        </w:tc>
        <w:tc>
          <w:tcPr>
            <w:tcW w:w="710"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17</w:t>
            </w:r>
            <w:r w:rsidRPr="004D52AE">
              <w:rPr>
                <w:rFonts w:ascii="Arial" w:hAnsi="Arial" w:cs="Arial"/>
                <w:b/>
                <w:bCs/>
                <w:color w:val="auto"/>
                <w:sz w:val="20"/>
                <w:szCs w:val="20"/>
              </w:rPr>
              <w:t xml:space="preserve"> </w:t>
            </w:r>
            <w:r>
              <w:rPr>
                <w:rFonts w:ascii="Arial" w:hAnsi="Arial" w:cs="Arial"/>
                <w:b/>
                <w:bCs/>
                <w:color w:val="auto"/>
                <w:sz w:val="20"/>
                <w:szCs w:val="20"/>
              </w:rPr>
              <w:t>424</w:t>
            </w:r>
            <w:r w:rsidRPr="004D52AE">
              <w:rPr>
                <w:rFonts w:ascii="Arial" w:hAnsi="Arial" w:cs="Arial"/>
                <w:b/>
                <w:bCs/>
                <w:color w:val="auto"/>
                <w:sz w:val="20"/>
                <w:szCs w:val="20"/>
              </w:rPr>
              <w:t xml:space="preserve"> - </w:t>
            </w:r>
            <w:r>
              <w:rPr>
                <w:rFonts w:ascii="Arial" w:hAnsi="Arial" w:cs="Arial"/>
                <w:b/>
                <w:bCs/>
                <w:color w:val="auto"/>
                <w:sz w:val="20"/>
                <w:szCs w:val="20"/>
              </w:rPr>
              <w:t>53</w:t>
            </w:r>
            <w:r w:rsidRPr="004D52AE">
              <w:rPr>
                <w:rFonts w:ascii="Arial" w:hAnsi="Arial" w:cs="Arial"/>
                <w:b/>
                <w:bCs/>
                <w:color w:val="auto"/>
                <w:sz w:val="20"/>
                <w:szCs w:val="20"/>
              </w:rPr>
              <w:t xml:space="preserve"> </w:t>
            </w:r>
            <w:r>
              <w:rPr>
                <w:rFonts w:ascii="Arial" w:hAnsi="Arial" w:cs="Arial"/>
                <w:b/>
                <w:bCs/>
                <w:color w:val="auto"/>
                <w:sz w:val="20"/>
                <w:szCs w:val="20"/>
              </w:rPr>
              <w:t>8</w:t>
            </w:r>
            <w:r w:rsidRPr="004D52AE">
              <w:rPr>
                <w:rFonts w:ascii="Arial" w:hAnsi="Arial" w:cs="Arial"/>
                <w:b/>
                <w:bCs/>
                <w:color w:val="auto"/>
                <w:sz w:val="20"/>
                <w:szCs w:val="20"/>
              </w:rPr>
              <w:t>46</w:t>
            </w:r>
          </w:p>
        </w:tc>
        <w:tc>
          <w:tcPr>
            <w:tcW w:w="390"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31</w:t>
            </w:r>
            <w:r w:rsidRPr="004D52AE">
              <w:rPr>
                <w:rFonts w:ascii="Arial" w:hAnsi="Arial" w:cs="Arial"/>
                <w:b/>
                <w:bCs/>
                <w:color w:val="auto"/>
                <w:sz w:val="20"/>
                <w:szCs w:val="20"/>
              </w:rPr>
              <w:t xml:space="preserve"> </w:t>
            </w:r>
            <w:r>
              <w:rPr>
                <w:rFonts w:ascii="Arial" w:hAnsi="Arial" w:cs="Arial"/>
                <w:b/>
                <w:bCs/>
                <w:color w:val="auto"/>
                <w:sz w:val="20"/>
                <w:szCs w:val="20"/>
              </w:rPr>
              <w:t>191</w:t>
            </w:r>
          </w:p>
        </w:tc>
        <w:tc>
          <w:tcPr>
            <w:tcW w:w="664"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19</w:t>
            </w:r>
            <w:r w:rsidRPr="004D52AE">
              <w:rPr>
                <w:rFonts w:ascii="Arial" w:hAnsi="Arial" w:cs="Arial"/>
                <w:b/>
                <w:bCs/>
                <w:color w:val="auto"/>
                <w:sz w:val="20"/>
                <w:szCs w:val="20"/>
              </w:rPr>
              <w:t xml:space="preserve"> </w:t>
            </w:r>
            <w:r>
              <w:rPr>
                <w:rFonts w:ascii="Arial" w:hAnsi="Arial" w:cs="Arial"/>
                <w:b/>
                <w:bCs/>
                <w:color w:val="auto"/>
                <w:sz w:val="20"/>
                <w:szCs w:val="20"/>
              </w:rPr>
              <w:t>724</w:t>
            </w:r>
            <w:r w:rsidRPr="004D52AE">
              <w:rPr>
                <w:rFonts w:ascii="Arial" w:hAnsi="Arial" w:cs="Arial"/>
                <w:b/>
                <w:bCs/>
                <w:color w:val="auto"/>
                <w:sz w:val="20"/>
                <w:szCs w:val="20"/>
              </w:rPr>
              <w:t xml:space="preserve"> - </w:t>
            </w:r>
            <w:r>
              <w:rPr>
                <w:rFonts w:ascii="Arial" w:hAnsi="Arial" w:cs="Arial"/>
                <w:b/>
                <w:bCs/>
                <w:color w:val="auto"/>
                <w:sz w:val="20"/>
                <w:szCs w:val="20"/>
              </w:rPr>
              <w:t>44</w:t>
            </w:r>
            <w:r w:rsidRPr="004D52AE">
              <w:rPr>
                <w:rFonts w:ascii="Arial" w:hAnsi="Arial" w:cs="Arial"/>
                <w:b/>
                <w:bCs/>
                <w:color w:val="auto"/>
                <w:sz w:val="20"/>
                <w:szCs w:val="20"/>
              </w:rPr>
              <w:t xml:space="preserve"> </w:t>
            </w:r>
            <w:r>
              <w:rPr>
                <w:rFonts w:ascii="Arial" w:hAnsi="Arial" w:cs="Arial"/>
                <w:b/>
                <w:bCs/>
                <w:color w:val="auto"/>
                <w:sz w:val="20"/>
                <w:szCs w:val="20"/>
              </w:rPr>
              <w:t>872</w:t>
            </w:r>
          </w:p>
        </w:tc>
        <w:tc>
          <w:tcPr>
            <w:tcW w:w="436"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29</w:t>
            </w:r>
            <w:r w:rsidRPr="004D52AE">
              <w:rPr>
                <w:rFonts w:ascii="Arial" w:hAnsi="Arial" w:cs="Arial"/>
                <w:b/>
                <w:bCs/>
                <w:color w:val="auto"/>
                <w:sz w:val="20"/>
                <w:szCs w:val="20"/>
              </w:rPr>
              <w:t xml:space="preserve"> </w:t>
            </w:r>
            <w:r>
              <w:rPr>
                <w:rFonts w:ascii="Arial" w:hAnsi="Arial" w:cs="Arial"/>
                <w:b/>
                <w:bCs/>
                <w:color w:val="auto"/>
                <w:sz w:val="20"/>
                <w:szCs w:val="20"/>
              </w:rPr>
              <w:t>583</w:t>
            </w:r>
          </w:p>
        </w:tc>
        <w:tc>
          <w:tcPr>
            <w:tcW w:w="597" w:type="pct"/>
            <w:shd w:val="clear" w:color="auto" w:fill="D9D9D9" w:themeFill="background1" w:themeFillShade="D9"/>
            <w:vAlign w:val="center"/>
          </w:tcPr>
          <w:p w:rsidR="00EE000B" w:rsidRPr="004D52AE" w:rsidRDefault="00EE000B" w:rsidP="006D5D22">
            <w:pPr>
              <w:cnfStyle w:val="000000000000"/>
              <w:rPr>
                <w:rFonts w:ascii="Arial" w:hAnsi="Arial" w:cs="Arial"/>
                <w:b/>
                <w:bCs/>
                <w:color w:val="auto"/>
                <w:sz w:val="20"/>
                <w:szCs w:val="20"/>
              </w:rPr>
            </w:pPr>
            <w:r>
              <w:rPr>
                <w:rFonts w:ascii="Arial" w:hAnsi="Arial" w:cs="Arial"/>
                <w:b/>
                <w:bCs/>
                <w:color w:val="auto"/>
                <w:sz w:val="20"/>
                <w:szCs w:val="20"/>
              </w:rPr>
              <w:t>32</w:t>
            </w:r>
            <w:r w:rsidRPr="004D52AE">
              <w:rPr>
                <w:rFonts w:ascii="Arial" w:hAnsi="Arial" w:cs="Arial"/>
                <w:b/>
                <w:bCs/>
                <w:color w:val="auto"/>
                <w:sz w:val="20"/>
                <w:szCs w:val="20"/>
              </w:rPr>
              <w:t xml:space="preserve"> </w:t>
            </w:r>
            <w:r>
              <w:rPr>
                <w:rFonts w:ascii="Arial" w:hAnsi="Arial" w:cs="Arial"/>
                <w:b/>
                <w:bCs/>
                <w:color w:val="auto"/>
                <w:sz w:val="20"/>
                <w:szCs w:val="20"/>
              </w:rPr>
              <w:t>016</w:t>
            </w:r>
          </w:p>
        </w:tc>
      </w:tr>
    </w:tbl>
    <w:p w:rsidR="00EE000B" w:rsidRDefault="00EE000B" w:rsidP="00EE000B">
      <w:pPr>
        <w:spacing w:after="240"/>
        <w:ind w:firstLine="540"/>
        <w:jc w:val="both"/>
        <w:rPr>
          <w:rFonts w:ascii="Arial" w:hAnsi="Arial" w:cs="Arial"/>
          <w:b/>
          <w:sz w:val="20"/>
          <w:szCs w:val="20"/>
        </w:rPr>
        <w:sectPr w:rsidR="00EE000B"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347325" w:rsidRPr="00CC1B3D" w:rsidRDefault="00347325" w:rsidP="002A1C23">
      <w:pPr>
        <w:rPr>
          <w:rFonts w:ascii="Arial" w:hAnsi="Arial" w:cs="Arial"/>
          <w:i/>
          <w:sz w:val="20"/>
          <w:szCs w:val="20"/>
        </w:rPr>
      </w:pPr>
      <w:bookmarkStart w:id="0" w:name="_GoBack"/>
      <w:bookmarkEnd w:id="0"/>
    </w:p>
    <w:tbl>
      <w:tblPr>
        <w:tblStyle w:val="-"/>
        <w:tblW w:w="5000" w:type="pct"/>
        <w:tblBorders>
          <w:insideH w:val="single" w:sz="4" w:space="0" w:color="D9D9D9" w:themeColor="background1" w:themeShade="D9"/>
        </w:tblBorders>
        <w:tblLook w:val="04A0"/>
      </w:tblPr>
      <w:tblGrid>
        <w:gridCol w:w="3652"/>
        <w:gridCol w:w="3402"/>
        <w:gridCol w:w="2517"/>
      </w:tblGrid>
      <w:tr w:rsidR="00FD44FA" w:rsidRPr="0020494A" w:rsidTr="00FD44FA">
        <w:trPr>
          <w:cnfStyle w:val="100000000000"/>
          <w:trHeight w:val="20"/>
          <w:tblHeader/>
        </w:trPr>
        <w:tc>
          <w:tcPr>
            <w:cnfStyle w:val="001000000000"/>
            <w:tcW w:w="1908" w:type="pct"/>
            <w:shd w:val="clear" w:color="auto" w:fill="D9D9D9" w:themeFill="background1" w:themeFillShade="D9"/>
            <w:hideMark/>
          </w:tcPr>
          <w:p w:rsidR="00FD44FA" w:rsidRPr="0020494A" w:rsidRDefault="00FD44FA" w:rsidP="00F873D9">
            <w:pPr>
              <w:rPr>
                <w:rFonts w:ascii="Arial" w:hAnsi="Arial" w:cs="Arial"/>
                <w:b w:val="0"/>
                <w:color w:val="auto"/>
                <w:sz w:val="20"/>
                <w:szCs w:val="20"/>
              </w:rPr>
            </w:pPr>
            <w:r w:rsidRPr="0020494A">
              <w:rPr>
                <w:rFonts w:ascii="Arial" w:hAnsi="Arial" w:cs="Arial"/>
                <w:b w:val="0"/>
                <w:color w:val="auto"/>
                <w:sz w:val="20"/>
                <w:szCs w:val="20"/>
              </w:rPr>
              <w:t>Диапазон цен единого объекта, руб.</w:t>
            </w:r>
          </w:p>
        </w:tc>
        <w:tc>
          <w:tcPr>
            <w:tcW w:w="1777" w:type="pct"/>
            <w:shd w:val="clear" w:color="auto" w:fill="D9D9D9" w:themeFill="background1" w:themeFillShade="D9"/>
          </w:tcPr>
          <w:p w:rsidR="00FD44FA" w:rsidRPr="0020494A" w:rsidRDefault="00FD44FA" w:rsidP="00F873D9">
            <w:pPr>
              <w:cnfStyle w:val="100000000000"/>
              <w:rPr>
                <w:rFonts w:ascii="Arial" w:hAnsi="Arial" w:cs="Arial"/>
                <w:b w:val="0"/>
                <w:color w:val="auto"/>
                <w:sz w:val="20"/>
                <w:szCs w:val="20"/>
              </w:rPr>
            </w:pPr>
            <w:r w:rsidRPr="0020494A">
              <w:rPr>
                <w:rFonts w:ascii="Arial" w:hAnsi="Arial" w:cs="Arial"/>
                <w:b w:val="0"/>
                <w:color w:val="auto"/>
                <w:sz w:val="20"/>
                <w:szCs w:val="20"/>
              </w:rPr>
              <w:t>Диапазон цен, руб. за 1 кв</w:t>
            </w:r>
            <w:proofErr w:type="gramStart"/>
            <w:r w:rsidRPr="0020494A">
              <w:rPr>
                <w:rFonts w:ascii="Arial" w:hAnsi="Arial" w:cs="Arial"/>
                <w:b w:val="0"/>
                <w:color w:val="auto"/>
                <w:sz w:val="20"/>
                <w:szCs w:val="20"/>
              </w:rPr>
              <w:t>.м</w:t>
            </w:r>
            <w:proofErr w:type="gramEnd"/>
          </w:p>
        </w:tc>
        <w:tc>
          <w:tcPr>
            <w:tcW w:w="1315" w:type="pct"/>
            <w:shd w:val="clear" w:color="auto" w:fill="D9D9D9" w:themeFill="background1" w:themeFillShade="D9"/>
            <w:hideMark/>
          </w:tcPr>
          <w:p w:rsidR="00FD44FA" w:rsidRPr="0020494A" w:rsidRDefault="00FD44FA" w:rsidP="00F873D9">
            <w:pPr>
              <w:cnfStyle w:val="100000000000"/>
              <w:rPr>
                <w:rFonts w:ascii="Arial" w:hAnsi="Arial" w:cs="Arial"/>
                <w:b w:val="0"/>
                <w:color w:val="auto"/>
                <w:sz w:val="20"/>
                <w:szCs w:val="20"/>
              </w:rPr>
            </w:pPr>
            <w:r w:rsidRPr="0020494A">
              <w:rPr>
                <w:rFonts w:ascii="Arial" w:hAnsi="Arial" w:cs="Arial"/>
                <w:b w:val="0"/>
                <w:color w:val="auto"/>
                <w:sz w:val="20"/>
                <w:szCs w:val="20"/>
              </w:rPr>
              <w:t>Ср. цена руб. за 1 кв. м.</w:t>
            </w:r>
          </w:p>
        </w:tc>
      </w:tr>
      <w:tr w:rsidR="00FD44FA" w:rsidRPr="0020494A" w:rsidTr="00FD44FA">
        <w:trPr>
          <w:trHeight w:val="20"/>
        </w:trPr>
        <w:tc>
          <w:tcPr>
            <w:cnfStyle w:val="001000000000"/>
            <w:tcW w:w="1908" w:type="pct"/>
            <w:hideMark/>
          </w:tcPr>
          <w:p w:rsidR="00FD44FA" w:rsidRPr="0020494A" w:rsidRDefault="00FD44FA" w:rsidP="00FD44FA">
            <w:pPr>
              <w:rPr>
                <w:rFonts w:ascii="Arial" w:hAnsi="Arial" w:cs="Arial"/>
                <w:b/>
                <w:bCs/>
                <w:color w:val="auto"/>
                <w:sz w:val="20"/>
                <w:szCs w:val="20"/>
              </w:rPr>
            </w:pPr>
            <w:r>
              <w:rPr>
                <w:rFonts w:ascii="Arial" w:hAnsi="Arial" w:cs="Arial"/>
                <w:b/>
                <w:bCs/>
                <w:color w:val="auto"/>
                <w:sz w:val="20"/>
                <w:szCs w:val="20"/>
              </w:rPr>
              <w:t>830</w:t>
            </w:r>
            <w:r w:rsidRPr="0020494A">
              <w:rPr>
                <w:rFonts w:ascii="Arial" w:hAnsi="Arial" w:cs="Arial"/>
                <w:b/>
                <w:bCs/>
                <w:color w:val="auto"/>
                <w:sz w:val="20"/>
                <w:szCs w:val="20"/>
              </w:rPr>
              <w:t xml:space="preserve"> 000 - </w:t>
            </w:r>
            <w:r>
              <w:rPr>
                <w:rFonts w:ascii="Arial" w:hAnsi="Arial" w:cs="Arial"/>
                <w:b/>
                <w:bCs/>
                <w:color w:val="auto"/>
                <w:sz w:val="20"/>
                <w:szCs w:val="20"/>
              </w:rPr>
              <w:t>17</w:t>
            </w:r>
            <w:r w:rsidRPr="0020494A">
              <w:rPr>
                <w:rFonts w:ascii="Arial" w:hAnsi="Arial" w:cs="Arial"/>
                <w:b/>
                <w:bCs/>
                <w:color w:val="auto"/>
                <w:sz w:val="20"/>
                <w:szCs w:val="20"/>
              </w:rPr>
              <w:t xml:space="preserve"> </w:t>
            </w:r>
            <w:r>
              <w:rPr>
                <w:rFonts w:ascii="Arial" w:hAnsi="Arial" w:cs="Arial"/>
                <w:b/>
                <w:bCs/>
                <w:color w:val="auto"/>
                <w:sz w:val="20"/>
                <w:szCs w:val="20"/>
              </w:rPr>
              <w:t>288</w:t>
            </w:r>
            <w:r w:rsidRPr="0020494A">
              <w:rPr>
                <w:rFonts w:ascii="Arial" w:hAnsi="Arial" w:cs="Arial"/>
                <w:b/>
                <w:bCs/>
                <w:color w:val="auto"/>
                <w:sz w:val="20"/>
                <w:szCs w:val="20"/>
              </w:rPr>
              <w:t xml:space="preserve"> </w:t>
            </w:r>
            <w:r>
              <w:rPr>
                <w:rFonts w:ascii="Arial" w:hAnsi="Arial" w:cs="Arial"/>
                <w:b/>
                <w:bCs/>
                <w:color w:val="auto"/>
                <w:sz w:val="20"/>
                <w:szCs w:val="20"/>
              </w:rPr>
              <w:t>806</w:t>
            </w:r>
          </w:p>
        </w:tc>
        <w:tc>
          <w:tcPr>
            <w:tcW w:w="1777" w:type="pct"/>
            <w:shd w:val="clear" w:color="auto" w:fill="D9D9D9" w:themeFill="background1" w:themeFillShade="D9"/>
          </w:tcPr>
          <w:p w:rsidR="00FD44FA" w:rsidRPr="0020494A" w:rsidRDefault="00FD44FA" w:rsidP="00FD44FA">
            <w:pPr>
              <w:cnfStyle w:val="000000000000"/>
              <w:rPr>
                <w:rFonts w:ascii="Arial" w:hAnsi="Arial" w:cs="Arial"/>
                <w:b/>
                <w:bCs/>
                <w:color w:val="auto"/>
                <w:sz w:val="20"/>
                <w:szCs w:val="20"/>
              </w:rPr>
            </w:pPr>
            <w:r>
              <w:rPr>
                <w:rFonts w:ascii="Arial" w:hAnsi="Arial" w:cs="Arial"/>
                <w:b/>
                <w:bCs/>
                <w:color w:val="auto"/>
                <w:sz w:val="20"/>
                <w:szCs w:val="20"/>
              </w:rPr>
              <w:t>6</w:t>
            </w:r>
            <w:r w:rsidRPr="0020494A">
              <w:rPr>
                <w:rFonts w:ascii="Arial" w:hAnsi="Arial" w:cs="Arial"/>
                <w:b/>
                <w:bCs/>
                <w:color w:val="auto"/>
                <w:sz w:val="20"/>
                <w:szCs w:val="20"/>
              </w:rPr>
              <w:t xml:space="preserve"> </w:t>
            </w:r>
            <w:r>
              <w:rPr>
                <w:rFonts w:ascii="Arial" w:hAnsi="Arial" w:cs="Arial"/>
                <w:b/>
                <w:bCs/>
                <w:color w:val="auto"/>
                <w:sz w:val="20"/>
                <w:szCs w:val="20"/>
              </w:rPr>
              <w:t>103</w:t>
            </w:r>
            <w:r w:rsidRPr="0020494A">
              <w:rPr>
                <w:rFonts w:ascii="Arial" w:hAnsi="Arial" w:cs="Arial"/>
                <w:b/>
                <w:bCs/>
                <w:color w:val="auto"/>
                <w:sz w:val="20"/>
                <w:szCs w:val="20"/>
              </w:rPr>
              <w:t xml:space="preserve"> - </w:t>
            </w:r>
            <w:r>
              <w:rPr>
                <w:rFonts w:ascii="Arial" w:hAnsi="Arial" w:cs="Arial"/>
                <w:b/>
                <w:bCs/>
                <w:color w:val="auto"/>
                <w:sz w:val="20"/>
                <w:szCs w:val="20"/>
              </w:rPr>
              <w:t>108</w:t>
            </w:r>
            <w:r w:rsidRPr="0020494A">
              <w:rPr>
                <w:rFonts w:ascii="Arial" w:hAnsi="Arial" w:cs="Arial"/>
                <w:b/>
                <w:bCs/>
                <w:color w:val="auto"/>
                <w:sz w:val="20"/>
                <w:szCs w:val="20"/>
              </w:rPr>
              <w:t xml:space="preserve"> </w:t>
            </w:r>
            <w:r>
              <w:rPr>
                <w:rFonts w:ascii="Arial" w:hAnsi="Arial" w:cs="Arial"/>
                <w:b/>
                <w:bCs/>
                <w:color w:val="auto"/>
                <w:sz w:val="20"/>
                <w:szCs w:val="20"/>
              </w:rPr>
              <w:t>635</w:t>
            </w:r>
          </w:p>
        </w:tc>
        <w:tc>
          <w:tcPr>
            <w:tcW w:w="1315" w:type="pct"/>
            <w:shd w:val="clear" w:color="auto" w:fill="D9D9D9" w:themeFill="background1" w:themeFillShade="D9"/>
            <w:hideMark/>
          </w:tcPr>
          <w:p w:rsidR="00FD44FA" w:rsidRPr="0020494A" w:rsidRDefault="00FD44FA" w:rsidP="00FD44FA">
            <w:pPr>
              <w:cnfStyle w:val="000000000000"/>
              <w:rPr>
                <w:rFonts w:ascii="Arial" w:hAnsi="Arial" w:cs="Arial"/>
                <w:b/>
                <w:bCs/>
                <w:color w:val="auto"/>
                <w:sz w:val="20"/>
                <w:szCs w:val="20"/>
              </w:rPr>
            </w:pPr>
            <w:r>
              <w:rPr>
                <w:rFonts w:ascii="Arial" w:hAnsi="Arial" w:cs="Arial"/>
                <w:b/>
                <w:bCs/>
                <w:color w:val="auto"/>
                <w:sz w:val="20"/>
                <w:szCs w:val="20"/>
              </w:rPr>
              <w:t>28</w:t>
            </w:r>
            <w:r w:rsidRPr="0020494A">
              <w:rPr>
                <w:rFonts w:ascii="Arial" w:hAnsi="Arial" w:cs="Arial"/>
                <w:b/>
                <w:bCs/>
                <w:color w:val="auto"/>
                <w:sz w:val="20"/>
                <w:szCs w:val="20"/>
              </w:rPr>
              <w:t xml:space="preserve"> </w:t>
            </w:r>
            <w:r>
              <w:rPr>
                <w:rFonts w:ascii="Arial" w:hAnsi="Arial" w:cs="Arial"/>
                <w:b/>
                <w:bCs/>
                <w:color w:val="auto"/>
                <w:sz w:val="20"/>
                <w:szCs w:val="20"/>
              </w:rPr>
              <w:t>438</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 xml:space="preserve">Квартиры выставляются на рынок (без учета скидки на торг) в диапазоне от </w:t>
      </w:r>
      <w:r w:rsidR="00903694">
        <w:rPr>
          <w:rFonts w:ascii="Arial" w:hAnsi="Arial" w:cs="Arial"/>
          <w:sz w:val="20"/>
          <w:szCs w:val="20"/>
        </w:rPr>
        <w:t>17</w:t>
      </w:r>
      <w:r w:rsidRPr="00731500">
        <w:rPr>
          <w:rFonts w:ascii="Arial" w:hAnsi="Arial" w:cs="Arial"/>
          <w:sz w:val="20"/>
          <w:szCs w:val="20"/>
        </w:rPr>
        <w:t xml:space="preserve"> </w:t>
      </w:r>
      <w:r w:rsidR="00903694">
        <w:rPr>
          <w:rFonts w:ascii="Arial" w:hAnsi="Arial" w:cs="Arial"/>
          <w:sz w:val="20"/>
          <w:szCs w:val="20"/>
        </w:rPr>
        <w:t>424</w:t>
      </w:r>
      <w:r>
        <w:rPr>
          <w:rFonts w:ascii="Arial" w:hAnsi="Arial" w:cs="Arial"/>
          <w:sz w:val="20"/>
          <w:szCs w:val="20"/>
        </w:rPr>
        <w:t xml:space="preserve"> руб./кв.м. – </w:t>
      </w:r>
      <w:r w:rsidR="00903694">
        <w:rPr>
          <w:rFonts w:ascii="Arial" w:hAnsi="Arial" w:cs="Arial"/>
          <w:sz w:val="20"/>
          <w:szCs w:val="20"/>
        </w:rPr>
        <w:t>86 666</w:t>
      </w:r>
      <w:r w:rsidRPr="00731500">
        <w:rPr>
          <w:rFonts w:ascii="Arial" w:hAnsi="Arial" w:cs="Arial"/>
          <w:sz w:val="20"/>
          <w:szCs w:val="20"/>
        </w:rPr>
        <w:t xml:space="preserve"> руб. /кв.м. в зависимости от различных ценообразующих факторов, в среднем же по состоянию на </w:t>
      </w:r>
      <w:r w:rsidR="00903694">
        <w:rPr>
          <w:rFonts w:ascii="Arial" w:hAnsi="Arial" w:cs="Arial"/>
          <w:sz w:val="20"/>
          <w:szCs w:val="20"/>
        </w:rPr>
        <w:t>июнь</w:t>
      </w:r>
      <w:r w:rsidRPr="00731500">
        <w:rPr>
          <w:rFonts w:ascii="Arial" w:hAnsi="Arial" w:cs="Arial"/>
          <w:sz w:val="20"/>
          <w:szCs w:val="20"/>
        </w:rPr>
        <w:t xml:space="preserve"> 2018</w:t>
      </w:r>
      <w:r w:rsidR="00903694">
        <w:rPr>
          <w:rFonts w:ascii="Arial" w:hAnsi="Arial" w:cs="Arial"/>
          <w:sz w:val="20"/>
          <w:szCs w:val="20"/>
        </w:rPr>
        <w:t xml:space="preserve"> </w:t>
      </w:r>
      <w:r w:rsidRPr="00731500">
        <w:rPr>
          <w:rFonts w:ascii="Arial" w:hAnsi="Arial" w:cs="Arial"/>
          <w:sz w:val="20"/>
          <w:szCs w:val="20"/>
        </w:rPr>
        <w:t xml:space="preserve">г. цена предложения квартир составляет </w:t>
      </w:r>
      <w:r w:rsidR="00903694">
        <w:rPr>
          <w:rFonts w:ascii="Arial" w:hAnsi="Arial" w:cs="Arial"/>
          <w:sz w:val="20"/>
          <w:szCs w:val="20"/>
        </w:rPr>
        <w:t>32</w:t>
      </w:r>
      <w:r w:rsidRPr="00731500">
        <w:rPr>
          <w:rFonts w:ascii="Arial" w:hAnsi="Arial" w:cs="Arial"/>
          <w:sz w:val="20"/>
          <w:szCs w:val="20"/>
        </w:rPr>
        <w:t xml:space="preserve"> </w:t>
      </w:r>
      <w:r w:rsidR="00903694">
        <w:rPr>
          <w:rFonts w:ascii="Arial" w:hAnsi="Arial" w:cs="Arial"/>
          <w:sz w:val="20"/>
          <w:szCs w:val="20"/>
        </w:rPr>
        <w:t>016</w:t>
      </w:r>
      <w:r w:rsidRPr="00731500">
        <w:rPr>
          <w:rFonts w:ascii="Arial" w:hAnsi="Arial" w:cs="Arial"/>
          <w:sz w:val="20"/>
          <w:szCs w:val="20"/>
        </w:rPr>
        <w:t xml:space="preserve"> руб./кв.м.</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 xml:space="preserve">Цена предложения домовладений в диапазоне от </w:t>
      </w:r>
      <w:r w:rsidR="00903694">
        <w:rPr>
          <w:rFonts w:ascii="Arial" w:hAnsi="Arial" w:cs="Arial"/>
          <w:sz w:val="20"/>
          <w:szCs w:val="20"/>
        </w:rPr>
        <w:t>6</w:t>
      </w:r>
      <w:r w:rsidRPr="00731500">
        <w:rPr>
          <w:rFonts w:ascii="Arial" w:hAnsi="Arial" w:cs="Arial"/>
          <w:sz w:val="20"/>
          <w:szCs w:val="20"/>
        </w:rPr>
        <w:t xml:space="preserve"> </w:t>
      </w:r>
      <w:r w:rsidR="00903694">
        <w:rPr>
          <w:rFonts w:ascii="Arial" w:hAnsi="Arial" w:cs="Arial"/>
          <w:sz w:val="20"/>
          <w:szCs w:val="20"/>
        </w:rPr>
        <w:t>103</w:t>
      </w:r>
      <w:r w:rsidRPr="00731500">
        <w:rPr>
          <w:rFonts w:ascii="Arial" w:hAnsi="Arial" w:cs="Arial"/>
          <w:sz w:val="20"/>
          <w:szCs w:val="20"/>
        </w:rPr>
        <w:t xml:space="preserve"> руб./кв.м. – </w:t>
      </w:r>
      <w:r w:rsidR="00903694">
        <w:rPr>
          <w:rFonts w:ascii="Arial" w:hAnsi="Arial" w:cs="Arial"/>
          <w:sz w:val="20"/>
          <w:szCs w:val="20"/>
        </w:rPr>
        <w:t>108</w:t>
      </w:r>
      <w:r w:rsidRPr="00731500">
        <w:rPr>
          <w:rFonts w:ascii="Arial" w:hAnsi="Arial" w:cs="Arial"/>
          <w:bCs/>
          <w:sz w:val="20"/>
          <w:szCs w:val="20"/>
        </w:rPr>
        <w:t xml:space="preserve"> </w:t>
      </w:r>
      <w:r w:rsidR="00903694">
        <w:rPr>
          <w:rFonts w:ascii="Arial" w:hAnsi="Arial" w:cs="Arial"/>
          <w:bCs/>
          <w:sz w:val="20"/>
          <w:szCs w:val="20"/>
        </w:rPr>
        <w:t>635</w:t>
      </w:r>
      <w:r w:rsidRPr="00731500">
        <w:rPr>
          <w:rFonts w:ascii="Arial" w:hAnsi="Arial" w:cs="Arial"/>
          <w:sz w:val="20"/>
          <w:szCs w:val="20"/>
        </w:rPr>
        <w:t xml:space="preserve"> руб. /кв.м. (без учета скидки на торг) составляет</w:t>
      </w:r>
      <w:r w:rsidR="00903694">
        <w:rPr>
          <w:rFonts w:ascii="Arial" w:hAnsi="Arial" w:cs="Arial"/>
          <w:sz w:val="20"/>
          <w:szCs w:val="20"/>
        </w:rPr>
        <w:t xml:space="preserve"> в среднем</w:t>
      </w:r>
      <w:r w:rsidRPr="00731500">
        <w:rPr>
          <w:rFonts w:ascii="Arial" w:hAnsi="Arial" w:cs="Arial"/>
          <w:sz w:val="20"/>
          <w:szCs w:val="20"/>
        </w:rPr>
        <w:t xml:space="preserve"> </w:t>
      </w:r>
      <w:r w:rsidR="00903694">
        <w:rPr>
          <w:rFonts w:ascii="Arial" w:hAnsi="Arial" w:cs="Arial"/>
          <w:sz w:val="20"/>
          <w:szCs w:val="20"/>
        </w:rPr>
        <w:t>28</w:t>
      </w:r>
      <w:r w:rsidRPr="00731500">
        <w:rPr>
          <w:rFonts w:ascii="Arial" w:hAnsi="Arial" w:cs="Arial"/>
          <w:sz w:val="20"/>
          <w:szCs w:val="20"/>
        </w:rPr>
        <w:t xml:space="preserve"> </w:t>
      </w:r>
      <w:r w:rsidR="00903694">
        <w:rPr>
          <w:rFonts w:ascii="Arial" w:hAnsi="Arial" w:cs="Arial"/>
          <w:sz w:val="20"/>
          <w:szCs w:val="20"/>
        </w:rPr>
        <w:t>438</w:t>
      </w:r>
      <w:r w:rsidRPr="00731500">
        <w:rPr>
          <w:rFonts w:ascii="Arial" w:hAnsi="Arial" w:cs="Arial"/>
          <w:sz w:val="20"/>
          <w:szCs w:val="20"/>
        </w:rPr>
        <w:t xml:space="preserve"> руб./кв.м.</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 xml:space="preserve">Динамика рынка недвижимости: наблюдается стагнация на рынке квартир </w:t>
      </w:r>
      <w:r w:rsidR="00903694">
        <w:rPr>
          <w:rFonts w:ascii="Arial" w:hAnsi="Arial" w:cs="Arial"/>
          <w:sz w:val="20"/>
          <w:szCs w:val="20"/>
        </w:rPr>
        <w:t xml:space="preserve">и </w:t>
      </w:r>
      <w:r w:rsidRPr="00731500">
        <w:rPr>
          <w:rFonts w:ascii="Arial" w:hAnsi="Arial" w:cs="Arial"/>
          <w:sz w:val="20"/>
          <w:szCs w:val="20"/>
        </w:rPr>
        <w:t xml:space="preserve">домовладений. Основными факторами данных процессов являются скептические ожидания рынка на фоне снижения платежеспособного спроса. </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 xml:space="preserve">Спрос, предложение: наблюдается перевес предложения над спросом, </w:t>
      </w:r>
      <w:r w:rsidR="00903694">
        <w:rPr>
          <w:rFonts w:ascii="Arial" w:hAnsi="Arial" w:cs="Arial"/>
          <w:sz w:val="20"/>
          <w:szCs w:val="20"/>
        </w:rPr>
        <w:t>что</w:t>
      </w:r>
      <w:r w:rsidRPr="00731500">
        <w:rPr>
          <w:rFonts w:ascii="Arial" w:hAnsi="Arial" w:cs="Arial"/>
          <w:sz w:val="20"/>
          <w:szCs w:val="20"/>
        </w:rPr>
        <w:t xml:space="preserve"> обусловлено сложной экономической ситуацией</w:t>
      </w:r>
      <w:r w:rsidR="00903694">
        <w:rPr>
          <w:rFonts w:ascii="Arial" w:hAnsi="Arial" w:cs="Arial"/>
          <w:sz w:val="20"/>
          <w:szCs w:val="20"/>
        </w:rPr>
        <w:t xml:space="preserve"> в стране, большой </w:t>
      </w:r>
      <w:proofErr w:type="spellStart"/>
      <w:r w:rsidR="00903694">
        <w:rPr>
          <w:rFonts w:ascii="Arial" w:hAnsi="Arial" w:cs="Arial"/>
          <w:sz w:val="20"/>
          <w:szCs w:val="20"/>
        </w:rPr>
        <w:t>закредитованностью</w:t>
      </w:r>
      <w:proofErr w:type="spellEnd"/>
      <w:r w:rsidR="00903694">
        <w:rPr>
          <w:rFonts w:ascii="Arial" w:hAnsi="Arial" w:cs="Arial"/>
          <w:sz w:val="20"/>
          <w:szCs w:val="20"/>
        </w:rPr>
        <w:t xml:space="preserve"> населения</w:t>
      </w:r>
      <w:r w:rsidRPr="00731500">
        <w:rPr>
          <w:rFonts w:ascii="Arial" w:hAnsi="Arial" w:cs="Arial"/>
          <w:sz w:val="20"/>
          <w:szCs w:val="20"/>
        </w:rPr>
        <w:t>.</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903694">
      <w:pPr>
        <w:pageBreakBefore/>
        <w:jc w:val="center"/>
        <w:outlineLvl w:val="1"/>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коммерческой недвижимости</w:t>
      </w:r>
    </w:p>
    <w:p w:rsidR="00A0089D" w:rsidRDefault="00A0089D" w:rsidP="00A0089D">
      <w:pPr>
        <w:jc w:val="both"/>
        <w:rPr>
          <w:bCs/>
        </w:rPr>
      </w:pPr>
      <w:r>
        <w:rPr>
          <w:bCs/>
        </w:rPr>
        <w:t>Н</w:t>
      </w:r>
      <w:r w:rsidRPr="00C74909">
        <w:rPr>
          <w:bCs/>
        </w:rPr>
        <w:t xml:space="preserve">аиболее развитыми секторами рынка коммерческой недвижимости Республики Калмыкия являются офисные и торговые сектора. При этом количество </w:t>
      </w:r>
      <w:r>
        <w:rPr>
          <w:bCs/>
        </w:rPr>
        <w:t xml:space="preserve">офисных и торговых </w:t>
      </w:r>
      <w:r w:rsidRPr="00C74909">
        <w:rPr>
          <w:bCs/>
        </w:rPr>
        <w:t>объектов предлагаемых к продаже примерно одинаково в каждом секторе</w:t>
      </w:r>
      <w:r>
        <w:rPr>
          <w:bCs/>
        </w:rPr>
        <w:t>, количество производственных и складских помещений невелико</w:t>
      </w:r>
      <w:r w:rsidRPr="00C74909">
        <w:rPr>
          <w:bCs/>
        </w:rPr>
        <w:t>.</w:t>
      </w:r>
    </w:p>
    <w:p w:rsidR="00A0089D" w:rsidRDefault="00A0089D" w:rsidP="00A0089D">
      <w:pPr>
        <w:jc w:val="center"/>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p w:rsidR="00B33D45" w:rsidRDefault="00B33D45" w:rsidP="00B33D45">
      <w:pPr>
        <w:keepNext/>
        <w:jc w:val="center"/>
        <w:outlineLvl w:val="1"/>
      </w:pPr>
      <w:r w:rsidRPr="00B33D45">
        <w:rPr>
          <w:rFonts w:ascii="Arial" w:hAnsi="Arial" w:cs="Arial"/>
          <w:b/>
          <w:noProof/>
          <w:sz w:val="20"/>
          <w:szCs w:val="20"/>
        </w:rPr>
        <w:drawing>
          <wp:inline distT="0" distB="0" distL="0" distR="0">
            <wp:extent cx="4572000" cy="2743200"/>
            <wp:effectExtent l="19050" t="0" r="1905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D45" w:rsidRDefault="00B33D45" w:rsidP="00B33D45">
      <w:pPr>
        <w:pStyle w:val="ac"/>
        <w:jc w:val="center"/>
      </w:pPr>
      <w:r>
        <w:t xml:space="preserve">Рисунок </w:t>
      </w:r>
      <w:fldSimple w:instr=" SEQ Рисунок \* ARABIC ">
        <w:r w:rsidR="00225215">
          <w:rPr>
            <w:noProof/>
          </w:rPr>
          <w:t>2</w:t>
        </w:r>
      </w:fldSimple>
      <w:r>
        <w:t xml:space="preserve"> Структура продаж по функциональному назначению</w:t>
      </w:r>
    </w:p>
    <w:p w:rsidR="00FD082E" w:rsidRDefault="00FD082E" w:rsidP="00A6484B">
      <w:pPr>
        <w:jc w:val="center"/>
        <w:outlineLvl w:val="1"/>
        <w:rPr>
          <w:rFonts w:ascii="Arial" w:hAnsi="Arial" w:cs="Arial"/>
          <w:b/>
          <w:sz w:val="20"/>
          <w:szCs w:val="20"/>
        </w:rPr>
      </w:pPr>
    </w:p>
    <w:p w:rsidR="00B33D45" w:rsidRDefault="00B33D45" w:rsidP="00B33D45">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B33D45" w:rsidRDefault="00B33D45" w:rsidP="004E7442">
      <w:pPr>
        <w:ind w:firstLine="709"/>
        <w:jc w:val="both"/>
        <w:outlineLvl w:val="1"/>
        <w:rPr>
          <w:rFonts w:ascii="Arial" w:hAnsi="Arial" w:cs="Arial"/>
          <w:spacing w:val="-6"/>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p>
    <w:p w:rsidR="00AA59B3" w:rsidRDefault="00AA59B3" w:rsidP="004E7442">
      <w:pPr>
        <w:ind w:firstLine="709"/>
        <w:jc w:val="both"/>
        <w:outlineLvl w:val="1"/>
        <w:rPr>
          <w:rFonts w:ascii="Arial" w:hAnsi="Arial" w:cs="Arial"/>
          <w:spacing w:val="-6"/>
          <w:sz w:val="20"/>
          <w:szCs w:val="20"/>
        </w:rPr>
      </w:pPr>
    </w:p>
    <w:tbl>
      <w:tblPr>
        <w:tblStyle w:val="-"/>
        <w:tblW w:w="5000" w:type="pct"/>
        <w:tblBorders>
          <w:insideH w:val="single" w:sz="4" w:space="0" w:color="D9D9D9" w:themeColor="background1" w:themeShade="D9"/>
        </w:tblBorders>
        <w:tblLook w:val="04A0"/>
      </w:tblPr>
      <w:tblGrid>
        <w:gridCol w:w="3652"/>
        <w:gridCol w:w="3402"/>
        <w:gridCol w:w="2517"/>
      </w:tblGrid>
      <w:tr w:rsidR="00B33D45" w:rsidRPr="0020494A" w:rsidTr="006D5D22">
        <w:trPr>
          <w:cnfStyle w:val="100000000000"/>
          <w:trHeight w:val="20"/>
          <w:tblHeader/>
        </w:trPr>
        <w:tc>
          <w:tcPr>
            <w:cnfStyle w:val="001000000000"/>
            <w:tcW w:w="1908" w:type="pct"/>
            <w:shd w:val="clear" w:color="auto" w:fill="D9D9D9" w:themeFill="background1" w:themeFillShade="D9"/>
            <w:hideMark/>
          </w:tcPr>
          <w:p w:rsidR="00B33D45" w:rsidRPr="0020494A" w:rsidRDefault="00B33D45" w:rsidP="006D5D22">
            <w:pPr>
              <w:rPr>
                <w:rFonts w:ascii="Arial" w:hAnsi="Arial" w:cs="Arial"/>
                <w:b w:val="0"/>
                <w:color w:val="auto"/>
                <w:sz w:val="20"/>
                <w:szCs w:val="20"/>
              </w:rPr>
            </w:pPr>
            <w:r w:rsidRPr="0020494A">
              <w:rPr>
                <w:rFonts w:ascii="Arial" w:hAnsi="Arial" w:cs="Arial"/>
                <w:b w:val="0"/>
                <w:color w:val="auto"/>
                <w:sz w:val="20"/>
                <w:szCs w:val="20"/>
              </w:rPr>
              <w:t>Диапазон цен единого объекта, руб.</w:t>
            </w:r>
          </w:p>
        </w:tc>
        <w:tc>
          <w:tcPr>
            <w:tcW w:w="1777" w:type="pct"/>
            <w:shd w:val="clear" w:color="auto" w:fill="D9D9D9" w:themeFill="background1" w:themeFillShade="D9"/>
          </w:tcPr>
          <w:p w:rsidR="00B33D45" w:rsidRPr="0020494A" w:rsidRDefault="00B33D45" w:rsidP="006D5D22">
            <w:pPr>
              <w:cnfStyle w:val="100000000000"/>
              <w:rPr>
                <w:rFonts w:ascii="Arial" w:hAnsi="Arial" w:cs="Arial"/>
                <w:b w:val="0"/>
                <w:color w:val="auto"/>
                <w:sz w:val="20"/>
                <w:szCs w:val="20"/>
              </w:rPr>
            </w:pPr>
            <w:r w:rsidRPr="0020494A">
              <w:rPr>
                <w:rFonts w:ascii="Arial" w:hAnsi="Arial" w:cs="Arial"/>
                <w:b w:val="0"/>
                <w:color w:val="auto"/>
                <w:sz w:val="20"/>
                <w:szCs w:val="20"/>
              </w:rPr>
              <w:t>Диапазон цен, руб. за 1 кв</w:t>
            </w:r>
            <w:proofErr w:type="gramStart"/>
            <w:r w:rsidRPr="0020494A">
              <w:rPr>
                <w:rFonts w:ascii="Arial" w:hAnsi="Arial" w:cs="Arial"/>
                <w:b w:val="0"/>
                <w:color w:val="auto"/>
                <w:sz w:val="20"/>
                <w:szCs w:val="20"/>
              </w:rPr>
              <w:t>.м</w:t>
            </w:r>
            <w:proofErr w:type="gramEnd"/>
          </w:p>
        </w:tc>
        <w:tc>
          <w:tcPr>
            <w:tcW w:w="1315" w:type="pct"/>
            <w:shd w:val="clear" w:color="auto" w:fill="D9D9D9" w:themeFill="background1" w:themeFillShade="D9"/>
            <w:hideMark/>
          </w:tcPr>
          <w:p w:rsidR="00B33D45" w:rsidRPr="0020494A" w:rsidRDefault="00B33D45" w:rsidP="006D5D22">
            <w:pPr>
              <w:cnfStyle w:val="100000000000"/>
              <w:rPr>
                <w:rFonts w:ascii="Arial" w:hAnsi="Arial" w:cs="Arial"/>
                <w:b w:val="0"/>
                <w:color w:val="auto"/>
                <w:sz w:val="20"/>
                <w:szCs w:val="20"/>
              </w:rPr>
            </w:pPr>
            <w:r w:rsidRPr="0020494A">
              <w:rPr>
                <w:rFonts w:ascii="Arial" w:hAnsi="Arial" w:cs="Arial"/>
                <w:b w:val="0"/>
                <w:color w:val="auto"/>
                <w:sz w:val="20"/>
                <w:szCs w:val="20"/>
              </w:rPr>
              <w:t>Ср. цена руб. за 1 кв. м.</w:t>
            </w:r>
          </w:p>
        </w:tc>
      </w:tr>
      <w:tr w:rsidR="00B33D45" w:rsidRPr="0020494A" w:rsidTr="006D5D22">
        <w:trPr>
          <w:trHeight w:val="20"/>
        </w:trPr>
        <w:tc>
          <w:tcPr>
            <w:cnfStyle w:val="001000000000"/>
            <w:tcW w:w="1908" w:type="pct"/>
            <w:hideMark/>
          </w:tcPr>
          <w:p w:rsidR="00B33D45" w:rsidRPr="0020494A" w:rsidRDefault="00B33D45" w:rsidP="00B33D45">
            <w:pPr>
              <w:rPr>
                <w:rFonts w:ascii="Arial" w:hAnsi="Arial" w:cs="Arial"/>
                <w:b/>
                <w:bCs/>
                <w:color w:val="auto"/>
                <w:sz w:val="20"/>
                <w:szCs w:val="20"/>
              </w:rPr>
            </w:pPr>
            <w:r>
              <w:rPr>
                <w:rFonts w:ascii="Arial" w:hAnsi="Arial" w:cs="Arial"/>
                <w:b/>
                <w:bCs/>
                <w:color w:val="auto"/>
                <w:sz w:val="20"/>
                <w:szCs w:val="20"/>
              </w:rPr>
              <w:t xml:space="preserve">1 000 </w:t>
            </w:r>
            <w:r w:rsidRPr="0020494A">
              <w:rPr>
                <w:rFonts w:ascii="Arial" w:hAnsi="Arial" w:cs="Arial"/>
                <w:b/>
                <w:bCs/>
                <w:color w:val="auto"/>
                <w:sz w:val="20"/>
                <w:szCs w:val="20"/>
              </w:rPr>
              <w:t xml:space="preserve">000 - </w:t>
            </w:r>
            <w:r>
              <w:rPr>
                <w:rFonts w:ascii="Arial" w:hAnsi="Arial" w:cs="Arial"/>
                <w:b/>
                <w:bCs/>
                <w:color w:val="auto"/>
                <w:sz w:val="20"/>
                <w:szCs w:val="20"/>
              </w:rPr>
              <w:t>15</w:t>
            </w:r>
            <w:r w:rsidRPr="0020494A">
              <w:rPr>
                <w:rFonts w:ascii="Arial" w:hAnsi="Arial" w:cs="Arial"/>
                <w:b/>
                <w:bCs/>
                <w:color w:val="auto"/>
                <w:sz w:val="20"/>
                <w:szCs w:val="20"/>
              </w:rPr>
              <w:t xml:space="preserve"> </w:t>
            </w:r>
            <w:r>
              <w:rPr>
                <w:rFonts w:ascii="Arial" w:hAnsi="Arial" w:cs="Arial"/>
                <w:b/>
                <w:bCs/>
                <w:color w:val="auto"/>
                <w:sz w:val="20"/>
                <w:szCs w:val="20"/>
              </w:rPr>
              <w:t>000</w:t>
            </w:r>
            <w:r w:rsidRPr="0020494A">
              <w:rPr>
                <w:rFonts w:ascii="Arial" w:hAnsi="Arial" w:cs="Arial"/>
                <w:b/>
                <w:bCs/>
                <w:color w:val="auto"/>
                <w:sz w:val="20"/>
                <w:szCs w:val="20"/>
              </w:rPr>
              <w:t xml:space="preserve"> </w:t>
            </w:r>
            <w:r>
              <w:rPr>
                <w:rFonts w:ascii="Arial" w:hAnsi="Arial" w:cs="Arial"/>
                <w:b/>
                <w:bCs/>
                <w:color w:val="auto"/>
                <w:sz w:val="20"/>
                <w:szCs w:val="20"/>
              </w:rPr>
              <w:t>000</w:t>
            </w:r>
          </w:p>
        </w:tc>
        <w:tc>
          <w:tcPr>
            <w:tcW w:w="1777" w:type="pct"/>
            <w:shd w:val="clear" w:color="auto" w:fill="D9D9D9" w:themeFill="background1" w:themeFillShade="D9"/>
          </w:tcPr>
          <w:p w:rsidR="00B33D45" w:rsidRPr="0020494A" w:rsidRDefault="00B33D45" w:rsidP="00B33D45">
            <w:pPr>
              <w:cnfStyle w:val="000000000000"/>
              <w:rPr>
                <w:rFonts w:ascii="Arial" w:hAnsi="Arial" w:cs="Arial"/>
                <w:b/>
                <w:bCs/>
                <w:color w:val="auto"/>
                <w:sz w:val="20"/>
                <w:szCs w:val="20"/>
              </w:rPr>
            </w:pPr>
            <w:r>
              <w:rPr>
                <w:rFonts w:ascii="Arial" w:hAnsi="Arial" w:cs="Arial"/>
                <w:b/>
                <w:bCs/>
                <w:color w:val="auto"/>
                <w:sz w:val="20"/>
                <w:szCs w:val="20"/>
              </w:rPr>
              <w:t>11</w:t>
            </w:r>
            <w:r w:rsidRPr="0020494A">
              <w:rPr>
                <w:rFonts w:ascii="Arial" w:hAnsi="Arial" w:cs="Arial"/>
                <w:b/>
                <w:bCs/>
                <w:color w:val="auto"/>
                <w:sz w:val="20"/>
                <w:szCs w:val="20"/>
              </w:rPr>
              <w:t xml:space="preserve"> </w:t>
            </w:r>
            <w:r>
              <w:rPr>
                <w:rFonts w:ascii="Arial" w:hAnsi="Arial" w:cs="Arial"/>
                <w:b/>
                <w:bCs/>
                <w:color w:val="auto"/>
                <w:sz w:val="20"/>
                <w:szCs w:val="20"/>
              </w:rPr>
              <w:t>579</w:t>
            </w:r>
            <w:r w:rsidRPr="0020494A">
              <w:rPr>
                <w:rFonts w:ascii="Arial" w:hAnsi="Arial" w:cs="Arial"/>
                <w:b/>
                <w:bCs/>
                <w:color w:val="auto"/>
                <w:sz w:val="20"/>
                <w:szCs w:val="20"/>
              </w:rPr>
              <w:t xml:space="preserve"> - </w:t>
            </w:r>
            <w:r>
              <w:rPr>
                <w:rFonts w:ascii="Arial" w:hAnsi="Arial" w:cs="Arial"/>
                <w:b/>
                <w:bCs/>
                <w:color w:val="auto"/>
                <w:sz w:val="20"/>
                <w:szCs w:val="20"/>
              </w:rPr>
              <w:t>75</w:t>
            </w:r>
            <w:r w:rsidRPr="0020494A">
              <w:rPr>
                <w:rFonts w:ascii="Arial" w:hAnsi="Arial" w:cs="Arial"/>
                <w:b/>
                <w:bCs/>
                <w:color w:val="auto"/>
                <w:sz w:val="20"/>
                <w:szCs w:val="20"/>
              </w:rPr>
              <w:t xml:space="preserve"> </w:t>
            </w:r>
            <w:r>
              <w:rPr>
                <w:rFonts w:ascii="Arial" w:hAnsi="Arial" w:cs="Arial"/>
                <w:b/>
                <w:bCs/>
                <w:color w:val="auto"/>
                <w:sz w:val="20"/>
                <w:szCs w:val="20"/>
              </w:rPr>
              <w:t>000</w:t>
            </w:r>
          </w:p>
        </w:tc>
        <w:tc>
          <w:tcPr>
            <w:tcW w:w="1315" w:type="pct"/>
            <w:shd w:val="clear" w:color="auto" w:fill="D9D9D9" w:themeFill="background1" w:themeFillShade="D9"/>
            <w:hideMark/>
          </w:tcPr>
          <w:p w:rsidR="00B33D45" w:rsidRPr="0020494A" w:rsidRDefault="00B33D45" w:rsidP="00B33D45">
            <w:pPr>
              <w:cnfStyle w:val="000000000000"/>
              <w:rPr>
                <w:rFonts w:ascii="Arial" w:hAnsi="Arial" w:cs="Arial"/>
                <w:b/>
                <w:bCs/>
                <w:color w:val="auto"/>
                <w:sz w:val="20"/>
                <w:szCs w:val="20"/>
              </w:rPr>
            </w:pPr>
            <w:r>
              <w:rPr>
                <w:rFonts w:ascii="Arial" w:hAnsi="Arial" w:cs="Arial"/>
                <w:b/>
                <w:bCs/>
                <w:color w:val="auto"/>
                <w:sz w:val="20"/>
                <w:szCs w:val="20"/>
              </w:rPr>
              <w:t>27</w:t>
            </w:r>
            <w:r w:rsidRPr="0020494A">
              <w:rPr>
                <w:rFonts w:ascii="Arial" w:hAnsi="Arial" w:cs="Arial"/>
                <w:b/>
                <w:bCs/>
                <w:color w:val="auto"/>
                <w:sz w:val="20"/>
                <w:szCs w:val="20"/>
              </w:rPr>
              <w:t xml:space="preserve"> </w:t>
            </w:r>
            <w:r>
              <w:rPr>
                <w:rFonts w:ascii="Arial" w:hAnsi="Arial" w:cs="Arial"/>
                <w:b/>
                <w:bCs/>
                <w:color w:val="auto"/>
                <w:sz w:val="20"/>
                <w:szCs w:val="20"/>
              </w:rPr>
              <w:t>586</w:t>
            </w:r>
          </w:p>
        </w:tc>
      </w:tr>
    </w:tbl>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p>
    <w:p w:rsidR="004E7442" w:rsidRDefault="004E7442" w:rsidP="007C3F8D">
      <w:pPr>
        <w:jc w:val="center"/>
        <w:outlineLvl w:val="1"/>
        <w:rPr>
          <w:rFonts w:ascii="Arial" w:hAnsi="Arial" w:cs="Arial"/>
          <w:b/>
          <w:sz w:val="20"/>
          <w:szCs w:val="20"/>
        </w:rPr>
      </w:pPr>
    </w:p>
    <w:tbl>
      <w:tblPr>
        <w:tblStyle w:val="-"/>
        <w:tblW w:w="5000" w:type="pct"/>
        <w:tblBorders>
          <w:insideH w:val="single" w:sz="4" w:space="0" w:color="D9D9D9" w:themeColor="background1" w:themeShade="D9"/>
        </w:tblBorders>
        <w:tblLook w:val="04A0"/>
      </w:tblPr>
      <w:tblGrid>
        <w:gridCol w:w="3652"/>
        <w:gridCol w:w="3402"/>
        <w:gridCol w:w="2517"/>
      </w:tblGrid>
      <w:tr w:rsidR="00B33D45" w:rsidRPr="0020494A" w:rsidTr="006D5D22">
        <w:trPr>
          <w:cnfStyle w:val="100000000000"/>
          <w:trHeight w:val="20"/>
          <w:tblHeader/>
        </w:trPr>
        <w:tc>
          <w:tcPr>
            <w:cnfStyle w:val="001000000000"/>
            <w:tcW w:w="1908" w:type="pct"/>
            <w:shd w:val="clear" w:color="auto" w:fill="D9D9D9" w:themeFill="background1" w:themeFillShade="D9"/>
            <w:hideMark/>
          </w:tcPr>
          <w:p w:rsidR="00B33D45" w:rsidRPr="0020494A" w:rsidRDefault="00B33D45" w:rsidP="006D5D22">
            <w:pPr>
              <w:rPr>
                <w:rFonts w:ascii="Arial" w:hAnsi="Arial" w:cs="Arial"/>
                <w:b w:val="0"/>
                <w:color w:val="auto"/>
                <w:sz w:val="20"/>
                <w:szCs w:val="20"/>
              </w:rPr>
            </w:pPr>
            <w:r w:rsidRPr="0020494A">
              <w:rPr>
                <w:rFonts w:ascii="Arial" w:hAnsi="Arial" w:cs="Arial"/>
                <w:b w:val="0"/>
                <w:color w:val="auto"/>
                <w:sz w:val="20"/>
                <w:szCs w:val="20"/>
              </w:rPr>
              <w:t>Диапазон цен единого объекта, руб.</w:t>
            </w:r>
          </w:p>
        </w:tc>
        <w:tc>
          <w:tcPr>
            <w:tcW w:w="1777" w:type="pct"/>
            <w:shd w:val="clear" w:color="auto" w:fill="D9D9D9" w:themeFill="background1" w:themeFillShade="D9"/>
          </w:tcPr>
          <w:p w:rsidR="00B33D45" w:rsidRPr="0020494A" w:rsidRDefault="00B33D45" w:rsidP="006D5D22">
            <w:pPr>
              <w:cnfStyle w:val="100000000000"/>
              <w:rPr>
                <w:rFonts w:ascii="Arial" w:hAnsi="Arial" w:cs="Arial"/>
                <w:b w:val="0"/>
                <w:color w:val="auto"/>
                <w:sz w:val="20"/>
                <w:szCs w:val="20"/>
              </w:rPr>
            </w:pPr>
            <w:r w:rsidRPr="0020494A">
              <w:rPr>
                <w:rFonts w:ascii="Arial" w:hAnsi="Arial" w:cs="Arial"/>
                <w:b w:val="0"/>
                <w:color w:val="auto"/>
                <w:sz w:val="20"/>
                <w:szCs w:val="20"/>
              </w:rPr>
              <w:t>Диапазон цен, руб. за 1 кв</w:t>
            </w:r>
            <w:proofErr w:type="gramStart"/>
            <w:r w:rsidRPr="0020494A">
              <w:rPr>
                <w:rFonts w:ascii="Arial" w:hAnsi="Arial" w:cs="Arial"/>
                <w:b w:val="0"/>
                <w:color w:val="auto"/>
                <w:sz w:val="20"/>
                <w:szCs w:val="20"/>
              </w:rPr>
              <w:t>.м</w:t>
            </w:r>
            <w:proofErr w:type="gramEnd"/>
          </w:p>
        </w:tc>
        <w:tc>
          <w:tcPr>
            <w:tcW w:w="1315" w:type="pct"/>
            <w:shd w:val="clear" w:color="auto" w:fill="D9D9D9" w:themeFill="background1" w:themeFillShade="D9"/>
            <w:hideMark/>
          </w:tcPr>
          <w:p w:rsidR="00B33D45" w:rsidRPr="0020494A" w:rsidRDefault="00B33D45" w:rsidP="006D5D22">
            <w:pPr>
              <w:cnfStyle w:val="100000000000"/>
              <w:rPr>
                <w:rFonts w:ascii="Arial" w:hAnsi="Arial" w:cs="Arial"/>
                <w:b w:val="0"/>
                <w:color w:val="auto"/>
                <w:sz w:val="20"/>
                <w:szCs w:val="20"/>
              </w:rPr>
            </w:pPr>
            <w:r w:rsidRPr="0020494A">
              <w:rPr>
                <w:rFonts w:ascii="Arial" w:hAnsi="Arial" w:cs="Arial"/>
                <w:b w:val="0"/>
                <w:color w:val="auto"/>
                <w:sz w:val="20"/>
                <w:szCs w:val="20"/>
              </w:rPr>
              <w:t>Ср. цена руб. за 1 кв. м.</w:t>
            </w:r>
          </w:p>
        </w:tc>
      </w:tr>
      <w:tr w:rsidR="00B33D45" w:rsidRPr="0020494A" w:rsidTr="006D5D22">
        <w:trPr>
          <w:trHeight w:val="20"/>
        </w:trPr>
        <w:tc>
          <w:tcPr>
            <w:cnfStyle w:val="001000000000"/>
            <w:tcW w:w="1908" w:type="pct"/>
            <w:hideMark/>
          </w:tcPr>
          <w:p w:rsidR="00B33D45" w:rsidRPr="0020494A" w:rsidRDefault="00B33D45" w:rsidP="00B33D45">
            <w:pPr>
              <w:rPr>
                <w:rFonts w:ascii="Arial" w:hAnsi="Arial" w:cs="Arial"/>
                <w:b/>
                <w:bCs/>
                <w:color w:val="auto"/>
                <w:sz w:val="20"/>
                <w:szCs w:val="20"/>
              </w:rPr>
            </w:pPr>
            <w:r>
              <w:rPr>
                <w:rFonts w:ascii="Arial" w:hAnsi="Arial" w:cs="Arial"/>
                <w:b/>
                <w:bCs/>
                <w:color w:val="auto"/>
                <w:sz w:val="20"/>
                <w:szCs w:val="20"/>
              </w:rPr>
              <w:t xml:space="preserve">970 </w:t>
            </w:r>
            <w:r w:rsidRPr="0020494A">
              <w:rPr>
                <w:rFonts w:ascii="Arial" w:hAnsi="Arial" w:cs="Arial"/>
                <w:b/>
                <w:bCs/>
                <w:color w:val="auto"/>
                <w:sz w:val="20"/>
                <w:szCs w:val="20"/>
              </w:rPr>
              <w:t xml:space="preserve">000 - </w:t>
            </w:r>
            <w:r>
              <w:rPr>
                <w:rFonts w:ascii="Arial" w:hAnsi="Arial" w:cs="Arial"/>
                <w:b/>
                <w:bCs/>
                <w:color w:val="auto"/>
                <w:sz w:val="20"/>
                <w:szCs w:val="20"/>
              </w:rPr>
              <w:t>123</w:t>
            </w:r>
            <w:r w:rsidRPr="0020494A">
              <w:rPr>
                <w:rFonts w:ascii="Arial" w:hAnsi="Arial" w:cs="Arial"/>
                <w:b/>
                <w:bCs/>
                <w:color w:val="auto"/>
                <w:sz w:val="20"/>
                <w:szCs w:val="20"/>
              </w:rPr>
              <w:t xml:space="preserve"> </w:t>
            </w:r>
            <w:r>
              <w:rPr>
                <w:rFonts w:ascii="Arial" w:hAnsi="Arial" w:cs="Arial"/>
                <w:b/>
                <w:bCs/>
                <w:color w:val="auto"/>
                <w:sz w:val="20"/>
                <w:szCs w:val="20"/>
              </w:rPr>
              <w:t>456</w:t>
            </w:r>
            <w:r w:rsidRPr="0020494A">
              <w:rPr>
                <w:rFonts w:ascii="Arial" w:hAnsi="Arial" w:cs="Arial"/>
                <w:b/>
                <w:bCs/>
                <w:color w:val="auto"/>
                <w:sz w:val="20"/>
                <w:szCs w:val="20"/>
              </w:rPr>
              <w:t xml:space="preserve"> </w:t>
            </w:r>
            <w:r>
              <w:rPr>
                <w:rFonts w:ascii="Arial" w:hAnsi="Arial" w:cs="Arial"/>
                <w:b/>
                <w:bCs/>
                <w:color w:val="auto"/>
                <w:sz w:val="20"/>
                <w:szCs w:val="20"/>
              </w:rPr>
              <w:t>789</w:t>
            </w:r>
          </w:p>
        </w:tc>
        <w:tc>
          <w:tcPr>
            <w:tcW w:w="1777" w:type="pct"/>
            <w:shd w:val="clear" w:color="auto" w:fill="D9D9D9" w:themeFill="background1" w:themeFillShade="D9"/>
          </w:tcPr>
          <w:p w:rsidR="00B33D45" w:rsidRPr="0020494A" w:rsidRDefault="00B33D45" w:rsidP="006D5D22">
            <w:pPr>
              <w:cnfStyle w:val="000000000000"/>
              <w:rPr>
                <w:rFonts w:ascii="Arial" w:hAnsi="Arial" w:cs="Arial"/>
                <w:b/>
                <w:bCs/>
                <w:color w:val="auto"/>
                <w:sz w:val="20"/>
                <w:szCs w:val="20"/>
              </w:rPr>
            </w:pPr>
            <w:r>
              <w:rPr>
                <w:rFonts w:ascii="Arial" w:hAnsi="Arial" w:cs="Arial"/>
                <w:b/>
                <w:bCs/>
                <w:color w:val="auto"/>
                <w:sz w:val="20"/>
                <w:szCs w:val="20"/>
              </w:rPr>
              <w:t>627</w:t>
            </w:r>
            <w:r w:rsidRPr="0020494A">
              <w:rPr>
                <w:rFonts w:ascii="Arial" w:hAnsi="Arial" w:cs="Arial"/>
                <w:b/>
                <w:bCs/>
                <w:color w:val="auto"/>
                <w:sz w:val="20"/>
                <w:szCs w:val="20"/>
              </w:rPr>
              <w:t xml:space="preserve"> - </w:t>
            </w:r>
            <w:r>
              <w:rPr>
                <w:rFonts w:ascii="Arial" w:hAnsi="Arial" w:cs="Arial"/>
                <w:b/>
                <w:bCs/>
                <w:color w:val="auto"/>
                <w:sz w:val="20"/>
                <w:szCs w:val="20"/>
              </w:rPr>
              <w:t>15</w:t>
            </w:r>
            <w:r w:rsidRPr="0020494A">
              <w:rPr>
                <w:rFonts w:ascii="Arial" w:hAnsi="Arial" w:cs="Arial"/>
                <w:b/>
                <w:bCs/>
                <w:color w:val="auto"/>
                <w:sz w:val="20"/>
                <w:szCs w:val="20"/>
              </w:rPr>
              <w:t xml:space="preserve"> </w:t>
            </w:r>
            <w:r>
              <w:rPr>
                <w:rFonts w:ascii="Arial" w:hAnsi="Arial" w:cs="Arial"/>
                <w:b/>
                <w:bCs/>
                <w:color w:val="auto"/>
                <w:sz w:val="20"/>
                <w:szCs w:val="20"/>
              </w:rPr>
              <w:t>000</w:t>
            </w:r>
          </w:p>
        </w:tc>
        <w:tc>
          <w:tcPr>
            <w:tcW w:w="1315" w:type="pct"/>
            <w:shd w:val="clear" w:color="auto" w:fill="D9D9D9" w:themeFill="background1" w:themeFillShade="D9"/>
            <w:hideMark/>
          </w:tcPr>
          <w:p w:rsidR="00B33D45" w:rsidRPr="0020494A" w:rsidRDefault="00B33D45" w:rsidP="00B33D45">
            <w:pPr>
              <w:cnfStyle w:val="000000000000"/>
              <w:rPr>
                <w:rFonts w:ascii="Arial" w:hAnsi="Arial" w:cs="Arial"/>
                <w:b/>
                <w:bCs/>
                <w:color w:val="auto"/>
                <w:sz w:val="20"/>
                <w:szCs w:val="20"/>
              </w:rPr>
            </w:pPr>
            <w:r>
              <w:rPr>
                <w:rFonts w:ascii="Arial" w:hAnsi="Arial" w:cs="Arial"/>
                <w:b/>
                <w:bCs/>
                <w:color w:val="auto"/>
                <w:sz w:val="20"/>
                <w:szCs w:val="20"/>
              </w:rPr>
              <w:t>1</w:t>
            </w:r>
            <w:r w:rsidRPr="0020494A">
              <w:rPr>
                <w:rFonts w:ascii="Arial" w:hAnsi="Arial" w:cs="Arial"/>
                <w:b/>
                <w:bCs/>
                <w:color w:val="auto"/>
                <w:sz w:val="20"/>
                <w:szCs w:val="20"/>
              </w:rPr>
              <w:t xml:space="preserve"> </w:t>
            </w:r>
            <w:r>
              <w:rPr>
                <w:rFonts w:ascii="Arial" w:hAnsi="Arial" w:cs="Arial"/>
                <w:b/>
                <w:bCs/>
                <w:color w:val="auto"/>
                <w:sz w:val="20"/>
                <w:szCs w:val="20"/>
              </w:rPr>
              <w:t>997</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8558F9" w:rsidRDefault="008558F9" w:rsidP="002D1E4F">
      <w:pPr>
        <w:ind w:firstLine="709"/>
        <w:jc w:val="both"/>
        <w:rPr>
          <w:rFonts w:ascii="Arial" w:hAnsi="Arial" w:cs="Arial"/>
          <w:sz w:val="20"/>
          <w:szCs w:val="20"/>
        </w:rPr>
      </w:pPr>
      <w:r w:rsidRPr="008558F9">
        <w:rPr>
          <w:rFonts w:ascii="Arial" w:hAnsi="Arial" w:cs="Arial"/>
          <w:sz w:val="20"/>
          <w:szCs w:val="20"/>
        </w:rPr>
        <w:t xml:space="preserve">Торгово-офисная недвижимость выставляется на рынок (без учета скидки на торг) в диапазоне от    </w:t>
      </w:r>
      <w:r w:rsidR="00B33D45">
        <w:rPr>
          <w:rFonts w:ascii="Arial" w:hAnsi="Arial" w:cs="Arial"/>
          <w:sz w:val="20"/>
          <w:szCs w:val="20"/>
        </w:rPr>
        <w:t>11</w:t>
      </w:r>
      <w:r w:rsidRPr="008558F9">
        <w:rPr>
          <w:rFonts w:ascii="Arial" w:hAnsi="Arial" w:cs="Arial"/>
          <w:sz w:val="20"/>
          <w:szCs w:val="20"/>
        </w:rPr>
        <w:t xml:space="preserve"> </w:t>
      </w:r>
      <w:r w:rsidR="00B33D45">
        <w:rPr>
          <w:rFonts w:ascii="Arial" w:hAnsi="Arial" w:cs="Arial"/>
          <w:sz w:val="20"/>
          <w:szCs w:val="20"/>
        </w:rPr>
        <w:t>579</w:t>
      </w:r>
      <w:r w:rsidRPr="008558F9">
        <w:rPr>
          <w:rFonts w:ascii="Arial" w:hAnsi="Arial" w:cs="Arial"/>
          <w:sz w:val="20"/>
          <w:szCs w:val="20"/>
        </w:rPr>
        <w:t xml:space="preserve"> руб./кв.м. – </w:t>
      </w:r>
      <w:r w:rsidR="00B33D45">
        <w:rPr>
          <w:rFonts w:ascii="Arial" w:hAnsi="Arial" w:cs="Arial"/>
          <w:sz w:val="20"/>
          <w:szCs w:val="20"/>
        </w:rPr>
        <w:t>75</w:t>
      </w:r>
      <w:r w:rsidRPr="008558F9">
        <w:rPr>
          <w:rFonts w:ascii="Arial" w:hAnsi="Arial" w:cs="Arial"/>
          <w:sz w:val="20"/>
          <w:szCs w:val="20"/>
        </w:rPr>
        <w:t xml:space="preserve"> 000 руб. /кв.м. в зависимости от различных ценообразующих факторов, в среднем же по состоянию на </w:t>
      </w:r>
      <w:r w:rsidR="00903694">
        <w:rPr>
          <w:rFonts w:ascii="Arial" w:hAnsi="Arial" w:cs="Arial"/>
          <w:sz w:val="20"/>
          <w:szCs w:val="20"/>
        </w:rPr>
        <w:t>июнь</w:t>
      </w:r>
      <w:r w:rsidRPr="008558F9">
        <w:rPr>
          <w:rFonts w:ascii="Arial" w:hAnsi="Arial" w:cs="Arial"/>
          <w:sz w:val="20"/>
          <w:szCs w:val="20"/>
        </w:rPr>
        <w:t xml:space="preserve"> 2018 г. цена предложения продажи торгово-офисной недвижимости составляет </w:t>
      </w:r>
      <w:r w:rsidR="00B33D45">
        <w:rPr>
          <w:rFonts w:ascii="Arial" w:hAnsi="Arial" w:cs="Arial"/>
          <w:sz w:val="20"/>
          <w:szCs w:val="20"/>
        </w:rPr>
        <w:t xml:space="preserve">27 586 </w:t>
      </w:r>
      <w:r w:rsidRPr="008558F9">
        <w:rPr>
          <w:rFonts w:ascii="Arial" w:hAnsi="Arial" w:cs="Arial"/>
          <w:sz w:val="20"/>
          <w:szCs w:val="20"/>
        </w:rPr>
        <w:t>руб./кв.м.</w:t>
      </w:r>
    </w:p>
    <w:p w:rsidR="002D1E4F" w:rsidRPr="008558F9" w:rsidRDefault="008558F9" w:rsidP="002D1E4F">
      <w:pPr>
        <w:ind w:firstLine="709"/>
        <w:jc w:val="both"/>
        <w:rPr>
          <w:rFonts w:ascii="Arial" w:hAnsi="Arial" w:cs="Arial"/>
          <w:sz w:val="20"/>
          <w:szCs w:val="20"/>
        </w:rPr>
      </w:pPr>
      <w:r w:rsidRPr="008558F9">
        <w:rPr>
          <w:rFonts w:ascii="Arial" w:hAnsi="Arial" w:cs="Arial"/>
          <w:sz w:val="20"/>
          <w:szCs w:val="20"/>
        </w:rPr>
        <w:t>Производственно-складская недвижимость выставляется на рынок (без учета</w:t>
      </w:r>
      <w:r>
        <w:rPr>
          <w:rFonts w:ascii="Arial" w:hAnsi="Arial" w:cs="Arial"/>
          <w:sz w:val="20"/>
          <w:szCs w:val="20"/>
        </w:rPr>
        <w:t xml:space="preserve"> скидки на торг) в диапазоне от </w:t>
      </w:r>
      <w:r w:rsidRPr="008558F9">
        <w:rPr>
          <w:rFonts w:ascii="Arial" w:hAnsi="Arial" w:cs="Arial"/>
          <w:sz w:val="20"/>
          <w:szCs w:val="20"/>
        </w:rPr>
        <w:t>62</w:t>
      </w:r>
      <w:r w:rsidR="00B33D45">
        <w:rPr>
          <w:rFonts w:ascii="Arial" w:hAnsi="Arial" w:cs="Arial"/>
          <w:sz w:val="20"/>
          <w:szCs w:val="20"/>
        </w:rPr>
        <w:t>7</w:t>
      </w:r>
      <w:r w:rsidRPr="008558F9">
        <w:rPr>
          <w:rFonts w:ascii="Arial" w:hAnsi="Arial" w:cs="Arial"/>
          <w:sz w:val="20"/>
          <w:szCs w:val="20"/>
        </w:rPr>
        <w:t xml:space="preserve"> руб./кв.м. – </w:t>
      </w:r>
      <w:r w:rsidR="00B33D45">
        <w:rPr>
          <w:rFonts w:ascii="Arial" w:hAnsi="Arial" w:cs="Arial"/>
          <w:sz w:val="20"/>
          <w:szCs w:val="20"/>
        </w:rPr>
        <w:t>15</w:t>
      </w:r>
      <w:r w:rsidRPr="008558F9">
        <w:rPr>
          <w:rFonts w:ascii="Arial" w:hAnsi="Arial" w:cs="Arial"/>
          <w:sz w:val="20"/>
          <w:szCs w:val="20"/>
        </w:rPr>
        <w:t xml:space="preserve"> </w:t>
      </w:r>
      <w:r w:rsidR="00B33D45">
        <w:rPr>
          <w:rFonts w:ascii="Arial" w:hAnsi="Arial" w:cs="Arial"/>
          <w:sz w:val="20"/>
          <w:szCs w:val="20"/>
        </w:rPr>
        <w:t>0</w:t>
      </w:r>
      <w:r w:rsidRPr="008558F9">
        <w:rPr>
          <w:rFonts w:ascii="Arial" w:hAnsi="Arial" w:cs="Arial"/>
          <w:sz w:val="20"/>
          <w:szCs w:val="20"/>
        </w:rPr>
        <w:t xml:space="preserve">00 руб. /кв.м. в зависимости от различных ценообразующих факторов, в среднем же по состоянию на </w:t>
      </w:r>
      <w:r w:rsidR="00903694">
        <w:rPr>
          <w:rFonts w:ascii="Arial" w:hAnsi="Arial" w:cs="Arial"/>
          <w:sz w:val="20"/>
          <w:szCs w:val="20"/>
        </w:rPr>
        <w:t>июнь</w:t>
      </w:r>
      <w:r w:rsidRPr="008558F9">
        <w:rPr>
          <w:rFonts w:ascii="Arial" w:hAnsi="Arial" w:cs="Arial"/>
          <w:sz w:val="20"/>
          <w:szCs w:val="20"/>
        </w:rPr>
        <w:t xml:space="preserve"> 2018 г. цена предложения продажи производственно-складской недвижимости составляет </w:t>
      </w:r>
      <w:r w:rsidR="00B33D45">
        <w:rPr>
          <w:rFonts w:ascii="Arial" w:hAnsi="Arial" w:cs="Arial"/>
          <w:sz w:val="20"/>
          <w:szCs w:val="20"/>
        </w:rPr>
        <w:t>1</w:t>
      </w:r>
      <w:r w:rsidRPr="008558F9">
        <w:rPr>
          <w:rFonts w:ascii="Arial" w:hAnsi="Arial" w:cs="Arial"/>
          <w:sz w:val="20"/>
          <w:szCs w:val="20"/>
        </w:rPr>
        <w:t xml:space="preserve"> </w:t>
      </w:r>
      <w:r w:rsidR="00B33D45">
        <w:rPr>
          <w:rFonts w:ascii="Arial" w:hAnsi="Arial" w:cs="Arial"/>
          <w:sz w:val="20"/>
          <w:szCs w:val="20"/>
        </w:rPr>
        <w:t>997</w:t>
      </w:r>
      <w:r w:rsidRPr="008558F9">
        <w:rPr>
          <w:rFonts w:ascii="Arial" w:hAnsi="Arial" w:cs="Arial"/>
          <w:sz w:val="20"/>
          <w:szCs w:val="20"/>
        </w:rPr>
        <w:t xml:space="preserve"> руб./кв.м.</w:t>
      </w:r>
    </w:p>
    <w:p w:rsidR="00B33D45" w:rsidRPr="00731500" w:rsidRDefault="00B33D45" w:rsidP="00B33D45">
      <w:pPr>
        <w:ind w:firstLine="709"/>
        <w:jc w:val="both"/>
        <w:rPr>
          <w:rFonts w:ascii="Arial" w:hAnsi="Arial" w:cs="Arial"/>
          <w:sz w:val="20"/>
          <w:szCs w:val="20"/>
        </w:rPr>
      </w:pPr>
      <w:r w:rsidRPr="00731500">
        <w:rPr>
          <w:rFonts w:ascii="Arial" w:hAnsi="Arial" w:cs="Arial"/>
          <w:sz w:val="20"/>
          <w:szCs w:val="20"/>
        </w:rPr>
        <w:t xml:space="preserve">Динамика рынка недвижимости: наблюдается стагнация на рынке квартир </w:t>
      </w:r>
      <w:r>
        <w:rPr>
          <w:rFonts w:ascii="Arial" w:hAnsi="Arial" w:cs="Arial"/>
          <w:sz w:val="20"/>
          <w:szCs w:val="20"/>
        </w:rPr>
        <w:t xml:space="preserve">и </w:t>
      </w:r>
      <w:r w:rsidRPr="00731500">
        <w:rPr>
          <w:rFonts w:ascii="Arial" w:hAnsi="Arial" w:cs="Arial"/>
          <w:sz w:val="20"/>
          <w:szCs w:val="20"/>
        </w:rPr>
        <w:t xml:space="preserve">домовладений. Основными факторами данных процессов являются скептические ожидания рынка на фоне снижения платежеспособного спроса. </w:t>
      </w:r>
    </w:p>
    <w:p w:rsidR="00B33D45" w:rsidRPr="00731500" w:rsidRDefault="00B33D45" w:rsidP="00B33D45">
      <w:pPr>
        <w:ind w:firstLine="709"/>
        <w:jc w:val="both"/>
        <w:rPr>
          <w:rFonts w:ascii="Arial" w:hAnsi="Arial" w:cs="Arial"/>
          <w:sz w:val="20"/>
          <w:szCs w:val="20"/>
        </w:rPr>
      </w:pPr>
      <w:r w:rsidRPr="00731500">
        <w:rPr>
          <w:rFonts w:ascii="Arial" w:hAnsi="Arial" w:cs="Arial"/>
          <w:sz w:val="20"/>
          <w:szCs w:val="20"/>
        </w:rPr>
        <w:t xml:space="preserve">Спрос, предложение: наблюдается перевес предложения над спросом, </w:t>
      </w:r>
      <w:r>
        <w:rPr>
          <w:rFonts w:ascii="Arial" w:hAnsi="Arial" w:cs="Arial"/>
          <w:sz w:val="20"/>
          <w:szCs w:val="20"/>
        </w:rPr>
        <w:t>что</w:t>
      </w:r>
      <w:r w:rsidRPr="00731500">
        <w:rPr>
          <w:rFonts w:ascii="Arial" w:hAnsi="Arial" w:cs="Arial"/>
          <w:sz w:val="20"/>
          <w:szCs w:val="20"/>
        </w:rPr>
        <w:t xml:space="preserve"> обусловлено сложной экономической ситуацией</w:t>
      </w:r>
      <w:r>
        <w:rPr>
          <w:rFonts w:ascii="Arial" w:hAnsi="Arial" w:cs="Arial"/>
          <w:sz w:val="20"/>
          <w:szCs w:val="20"/>
        </w:rPr>
        <w:t xml:space="preserve"> в стране, большой </w:t>
      </w:r>
      <w:proofErr w:type="spellStart"/>
      <w:r>
        <w:rPr>
          <w:rFonts w:ascii="Arial" w:hAnsi="Arial" w:cs="Arial"/>
          <w:sz w:val="20"/>
          <w:szCs w:val="20"/>
        </w:rPr>
        <w:t>закредитованностью</w:t>
      </w:r>
      <w:proofErr w:type="spellEnd"/>
      <w:r>
        <w:rPr>
          <w:rFonts w:ascii="Arial" w:hAnsi="Arial" w:cs="Arial"/>
          <w:sz w:val="20"/>
          <w:szCs w:val="20"/>
        </w:rPr>
        <w:t xml:space="preserve"> населения</w:t>
      </w:r>
      <w:r w:rsidRPr="00731500">
        <w:rPr>
          <w:rFonts w:ascii="Arial" w:hAnsi="Arial" w:cs="Arial"/>
          <w:sz w:val="20"/>
          <w:szCs w:val="20"/>
        </w:rPr>
        <w:t>.</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EE29B5" w:rsidRDefault="00EE29B5" w:rsidP="00B33D45">
      <w:pPr>
        <w:pageBreakBefore/>
        <w:ind w:firstLine="709"/>
        <w:jc w:val="center"/>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225215" w:rsidRDefault="00225215" w:rsidP="00225215">
      <w:pPr>
        <w:keepNext/>
        <w:ind w:firstLine="709"/>
        <w:jc w:val="center"/>
      </w:pPr>
      <w:r w:rsidRPr="00225215">
        <w:rPr>
          <w:rFonts w:ascii="Arial" w:hAnsi="Arial" w:cs="Arial"/>
          <w:b/>
          <w:noProof/>
          <w:sz w:val="20"/>
          <w:szCs w:val="20"/>
        </w:rPr>
        <w:drawing>
          <wp:inline distT="0" distB="0" distL="0" distR="0">
            <wp:extent cx="4572000" cy="2743200"/>
            <wp:effectExtent l="19050" t="0" r="1905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29B5" w:rsidRDefault="00225215" w:rsidP="00225215">
      <w:pPr>
        <w:pStyle w:val="ac"/>
        <w:jc w:val="center"/>
        <w:rPr>
          <w:rFonts w:ascii="Arial" w:hAnsi="Arial" w:cs="Arial"/>
          <w:b w:val="0"/>
        </w:rPr>
      </w:pPr>
      <w:r>
        <w:t xml:space="preserve">Рисунок </w:t>
      </w:r>
      <w:fldSimple w:instr=" SEQ Рисунок \* ARABIC ">
        <w:r>
          <w:rPr>
            <w:noProof/>
          </w:rPr>
          <w:t>3</w:t>
        </w:r>
      </w:fldSimple>
      <w:r>
        <w:t xml:space="preserve"> Структура продаж по функциональному назначению</w:t>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B33D45">
      <w:pPr>
        <w:keepNext/>
        <w:jc w:val="center"/>
        <w:rPr>
          <w:rFonts w:ascii="Arial" w:hAnsi="Arial" w:cs="Arial"/>
          <w:sz w:val="20"/>
          <w:szCs w:val="20"/>
        </w:rPr>
      </w:pPr>
      <w:r w:rsidRPr="00290158">
        <w:rPr>
          <w:noProof/>
          <w:sz w:val="20"/>
          <w:szCs w:val="20"/>
        </w:rPr>
        <w:t xml:space="preserve"> </w:t>
      </w: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p>
    <w:p w:rsidR="00225215" w:rsidRDefault="00225215" w:rsidP="00B33D45">
      <w:pPr>
        <w:keepNext/>
        <w:jc w:val="center"/>
        <w:rPr>
          <w:rFonts w:ascii="Arial" w:hAnsi="Arial" w:cs="Arial"/>
          <w:spacing w:val="-6"/>
          <w:sz w:val="20"/>
          <w:szCs w:val="20"/>
        </w:rPr>
      </w:pPr>
    </w:p>
    <w:tbl>
      <w:tblPr>
        <w:tblStyle w:val="-"/>
        <w:tblW w:w="5000" w:type="pct"/>
        <w:tblBorders>
          <w:insideH w:val="single" w:sz="4" w:space="0" w:color="D9D9D9" w:themeColor="background1" w:themeShade="D9"/>
        </w:tblBorders>
        <w:tblLook w:val="04A0"/>
      </w:tblPr>
      <w:tblGrid>
        <w:gridCol w:w="3652"/>
        <w:gridCol w:w="3402"/>
        <w:gridCol w:w="2517"/>
      </w:tblGrid>
      <w:tr w:rsidR="00225215" w:rsidRPr="0020494A" w:rsidTr="006D5D22">
        <w:trPr>
          <w:cnfStyle w:val="100000000000"/>
          <w:trHeight w:val="20"/>
          <w:tblHeader/>
        </w:trPr>
        <w:tc>
          <w:tcPr>
            <w:cnfStyle w:val="001000000000"/>
            <w:tcW w:w="1908" w:type="pct"/>
            <w:shd w:val="clear" w:color="auto" w:fill="D9D9D9" w:themeFill="background1" w:themeFillShade="D9"/>
            <w:hideMark/>
          </w:tcPr>
          <w:p w:rsidR="00225215" w:rsidRPr="0020494A" w:rsidRDefault="00225215" w:rsidP="006D5D22">
            <w:pPr>
              <w:rPr>
                <w:rFonts w:ascii="Arial" w:hAnsi="Arial" w:cs="Arial"/>
                <w:b w:val="0"/>
                <w:color w:val="auto"/>
                <w:sz w:val="20"/>
                <w:szCs w:val="20"/>
              </w:rPr>
            </w:pPr>
            <w:r w:rsidRPr="0020494A">
              <w:rPr>
                <w:rFonts w:ascii="Arial" w:hAnsi="Arial" w:cs="Arial"/>
                <w:b w:val="0"/>
                <w:color w:val="auto"/>
                <w:sz w:val="20"/>
                <w:szCs w:val="20"/>
              </w:rPr>
              <w:t>Диапазон цен единого объекта, руб.</w:t>
            </w:r>
          </w:p>
        </w:tc>
        <w:tc>
          <w:tcPr>
            <w:tcW w:w="1777" w:type="pct"/>
            <w:shd w:val="clear" w:color="auto" w:fill="D9D9D9" w:themeFill="background1" w:themeFillShade="D9"/>
          </w:tcPr>
          <w:p w:rsidR="00225215" w:rsidRPr="0020494A" w:rsidRDefault="00225215" w:rsidP="006D5D22">
            <w:pPr>
              <w:cnfStyle w:val="100000000000"/>
              <w:rPr>
                <w:rFonts w:ascii="Arial" w:hAnsi="Arial" w:cs="Arial"/>
                <w:b w:val="0"/>
                <w:color w:val="auto"/>
                <w:sz w:val="20"/>
                <w:szCs w:val="20"/>
              </w:rPr>
            </w:pPr>
            <w:r w:rsidRPr="0020494A">
              <w:rPr>
                <w:rFonts w:ascii="Arial" w:hAnsi="Arial" w:cs="Arial"/>
                <w:b w:val="0"/>
                <w:color w:val="auto"/>
                <w:sz w:val="20"/>
                <w:szCs w:val="20"/>
              </w:rPr>
              <w:t>Диапазон цен, руб. за 1 кв</w:t>
            </w:r>
            <w:proofErr w:type="gramStart"/>
            <w:r w:rsidRPr="0020494A">
              <w:rPr>
                <w:rFonts w:ascii="Arial" w:hAnsi="Arial" w:cs="Arial"/>
                <w:b w:val="0"/>
                <w:color w:val="auto"/>
                <w:sz w:val="20"/>
                <w:szCs w:val="20"/>
              </w:rPr>
              <w:t>.м</w:t>
            </w:r>
            <w:proofErr w:type="gramEnd"/>
          </w:p>
        </w:tc>
        <w:tc>
          <w:tcPr>
            <w:tcW w:w="1315" w:type="pct"/>
            <w:shd w:val="clear" w:color="auto" w:fill="D9D9D9" w:themeFill="background1" w:themeFillShade="D9"/>
            <w:hideMark/>
          </w:tcPr>
          <w:p w:rsidR="00225215" w:rsidRPr="0020494A" w:rsidRDefault="00225215" w:rsidP="006D5D22">
            <w:pPr>
              <w:cnfStyle w:val="100000000000"/>
              <w:rPr>
                <w:rFonts w:ascii="Arial" w:hAnsi="Arial" w:cs="Arial"/>
                <w:b w:val="0"/>
                <w:color w:val="auto"/>
                <w:sz w:val="20"/>
                <w:szCs w:val="20"/>
              </w:rPr>
            </w:pPr>
            <w:r w:rsidRPr="0020494A">
              <w:rPr>
                <w:rFonts w:ascii="Arial" w:hAnsi="Arial" w:cs="Arial"/>
                <w:b w:val="0"/>
                <w:color w:val="auto"/>
                <w:sz w:val="20"/>
                <w:szCs w:val="20"/>
              </w:rPr>
              <w:t>Ср. цена руб. за 1 кв. м.</w:t>
            </w:r>
          </w:p>
        </w:tc>
      </w:tr>
      <w:tr w:rsidR="00225215" w:rsidRPr="0020494A" w:rsidTr="006D5D22">
        <w:trPr>
          <w:trHeight w:val="20"/>
        </w:trPr>
        <w:tc>
          <w:tcPr>
            <w:cnfStyle w:val="001000000000"/>
            <w:tcW w:w="1908" w:type="pct"/>
            <w:hideMark/>
          </w:tcPr>
          <w:p w:rsidR="00225215" w:rsidRPr="0020494A" w:rsidRDefault="00225215" w:rsidP="006D5D22">
            <w:pPr>
              <w:rPr>
                <w:rFonts w:ascii="Arial" w:hAnsi="Arial" w:cs="Arial"/>
                <w:b/>
                <w:bCs/>
                <w:color w:val="auto"/>
                <w:sz w:val="20"/>
                <w:szCs w:val="20"/>
              </w:rPr>
            </w:pPr>
            <w:r>
              <w:rPr>
                <w:rFonts w:ascii="Arial" w:hAnsi="Arial" w:cs="Arial"/>
                <w:b/>
                <w:bCs/>
                <w:color w:val="auto"/>
                <w:sz w:val="20"/>
                <w:szCs w:val="20"/>
              </w:rPr>
              <w:t xml:space="preserve">50 </w:t>
            </w:r>
            <w:r w:rsidRPr="0020494A">
              <w:rPr>
                <w:rFonts w:ascii="Arial" w:hAnsi="Arial" w:cs="Arial"/>
                <w:b/>
                <w:bCs/>
                <w:color w:val="auto"/>
                <w:sz w:val="20"/>
                <w:szCs w:val="20"/>
              </w:rPr>
              <w:t xml:space="preserve">000 - </w:t>
            </w:r>
            <w:r>
              <w:rPr>
                <w:rFonts w:ascii="Arial" w:hAnsi="Arial" w:cs="Arial"/>
                <w:b/>
                <w:bCs/>
                <w:color w:val="auto"/>
                <w:sz w:val="20"/>
                <w:szCs w:val="20"/>
              </w:rPr>
              <w:t>15</w:t>
            </w:r>
            <w:r w:rsidRPr="0020494A">
              <w:rPr>
                <w:rFonts w:ascii="Arial" w:hAnsi="Arial" w:cs="Arial"/>
                <w:b/>
                <w:bCs/>
                <w:color w:val="auto"/>
                <w:sz w:val="20"/>
                <w:szCs w:val="20"/>
              </w:rPr>
              <w:t xml:space="preserve"> </w:t>
            </w:r>
            <w:r>
              <w:rPr>
                <w:rFonts w:ascii="Arial" w:hAnsi="Arial" w:cs="Arial"/>
                <w:b/>
                <w:bCs/>
                <w:color w:val="auto"/>
                <w:sz w:val="20"/>
                <w:szCs w:val="20"/>
              </w:rPr>
              <w:t>000</w:t>
            </w:r>
            <w:r w:rsidRPr="0020494A">
              <w:rPr>
                <w:rFonts w:ascii="Arial" w:hAnsi="Arial" w:cs="Arial"/>
                <w:b/>
                <w:bCs/>
                <w:color w:val="auto"/>
                <w:sz w:val="20"/>
                <w:szCs w:val="20"/>
              </w:rPr>
              <w:t xml:space="preserve"> </w:t>
            </w:r>
            <w:r>
              <w:rPr>
                <w:rFonts w:ascii="Arial" w:hAnsi="Arial" w:cs="Arial"/>
                <w:b/>
                <w:bCs/>
                <w:color w:val="auto"/>
                <w:sz w:val="20"/>
                <w:szCs w:val="20"/>
              </w:rPr>
              <w:t>000</w:t>
            </w:r>
          </w:p>
        </w:tc>
        <w:tc>
          <w:tcPr>
            <w:tcW w:w="1777" w:type="pct"/>
            <w:shd w:val="clear" w:color="auto" w:fill="D9D9D9" w:themeFill="background1" w:themeFillShade="D9"/>
          </w:tcPr>
          <w:p w:rsidR="00225215" w:rsidRPr="0020494A" w:rsidRDefault="00225215" w:rsidP="00225215">
            <w:pPr>
              <w:cnfStyle w:val="000000000000"/>
              <w:rPr>
                <w:rFonts w:ascii="Arial" w:hAnsi="Arial" w:cs="Arial"/>
                <w:b/>
                <w:bCs/>
                <w:color w:val="auto"/>
                <w:sz w:val="20"/>
                <w:szCs w:val="20"/>
              </w:rPr>
            </w:pPr>
            <w:r>
              <w:rPr>
                <w:rFonts w:ascii="Arial" w:hAnsi="Arial" w:cs="Arial"/>
                <w:b/>
                <w:bCs/>
                <w:color w:val="auto"/>
                <w:sz w:val="20"/>
                <w:szCs w:val="20"/>
              </w:rPr>
              <w:t>125</w:t>
            </w:r>
            <w:r w:rsidRPr="0020494A">
              <w:rPr>
                <w:rFonts w:ascii="Arial" w:hAnsi="Arial" w:cs="Arial"/>
                <w:b/>
                <w:bCs/>
                <w:color w:val="auto"/>
                <w:sz w:val="20"/>
                <w:szCs w:val="20"/>
              </w:rPr>
              <w:t xml:space="preserve"> - </w:t>
            </w:r>
            <w:r>
              <w:rPr>
                <w:rFonts w:ascii="Arial" w:hAnsi="Arial" w:cs="Arial"/>
                <w:b/>
                <w:bCs/>
                <w:color w:val="auto"/>
                <w:sz w:val="20"/>
                <w:szCs w:val="20"/>
              </w:rPr>
              <w:t>8</w:t>
            </w:r>
            <w:r w:rsidRPr="0020494A">
              <w:rPr>
                <w:rFonts w:ascii="Arial" w:hAnsi="Arial" w:cs="Arial"/>
                <w:b/>
                <w:bCs/>
                <w:color w:val="auto"/>
                <w:sz w:val="20"/>
                <w:szCs w:val="20"/>
              </w:rPr>
              <w:t xml:space="preserve"> </w:t>
            </w:r>
            <w:r>
              <w:rPr>
                <w:rFonts w:ascii="Arial" w:hAnsi="Arial" w:cs="Arial"/>
                <w:b/>
                <w:bCs/>
                <w:color w:val="auto"/>
                <w:sz w:val="20"/>
                <w:szCs w:val="20"/>
              </w:rPr>
              <w:t>451</w:t>
            </w:r>
          </w:p>
        </w:tc>
        <w:tc>
          <w:tcPr>
            <w:tcW w:w="1315" w:type="pct"/>
            <w:shd w:val="clear" w:color="auto" w:fill="D9D9D9" w:themeFill="background1" w:themeFillShade="D9"/>
            <w:hideMark/>
          </w:tcPr>
          <w:p w:rsidR="00225215" w:rsidRPr="0020494A" w:rsidRDefault="00225215" w:rsidP="00225215">
            <w:pPr>
              <w:cnfStyle w:val="000000000000"/>
              <w:rPr>
                <w:rFonts w:ascii="Arial" w:hAnsi="Arial" w:cs="Arial"/>
                <w:b/>
                <w:bCs/>
                <w:color w:val="auto"/>
                <w:sz w:val="20"/>
                <w:szCs w:val="20"/>
              </w:rPr>
            </w:pPr>
            <w:r>
              <w:rPr>
                <w:rFonts w:ascii="Arial" w:hAnsi="Arial" w:cs="Arial"/>
                <w:b/>
                <w:bCs/>
                <w:color w:val="auto"/>
                <w:sz w:val="20"/>
                <w:szCs w:val="20"/>
              </w:rPr>
              <w:t>667</w:t>
            </w:r>
          </w:p>
        </w:tc>
      </w:tr>
    </w:tbl>
    <w:p w:rsidR="00EE29B5" w:rsidRDefault="00EE29B5" w:rsidP="00EE29B5">
      <w:pPr>
        <w:ind w:firstLine="709"/>
        <w:jc w:val="both"/>
        <w:rPr>
          <w:rFonts w:ascii="Arial" w:hAnsi="Arial" w:cs="Arial"/>
          <w:sz w:val="20"/>
          <w:szCs w:val="20"/>
        </w:rPr>
      </w:pPr>
    </w:p>
    <w:p w:rsidR="00EE29B5" w:rsidRDefault="00EE29B5" w:rsidP="00054DE8">
      <w:pPr>
        <w:jc w:val="center"/>
        <w:rPr>
          <w:rFonts w:ascii="Arial" w:hAnsi="Arial" w:cs="Arial"/>
          <w:b/>
          <w:sz w:val="20"/>
          <w:szCs w:val="20"/>
        </w:rPr>
      </w:pPr>
      <w:r w:rsidRPr="004E7442">
        <w:rPr>
          <w:rFonts w:ascii="Arial" w:hAnsi="Arial" w:cs="Arial"/>
          <w:b/>
          <w:sz w:val="20"/>
          <w:szCs w:val="20"/>
        </w:rPr>
        <w:t>Коммерческая застройка</w:t>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p>
    <w:p w:rsidR="00225215" w:rsidRDefault="00225215" w:rsidP="00EE29B5">
      <w:pPr>
        <w:ind w:firstLine="709"/>
        <w:jc w:val="both"/>
        <w:rPr>
          <w:rFonts w:ascii="Arial" w:hAnsi="Arial" w:cs="Arial"/>
          <w:spacing w:val="-6"/>
          <w:sz w:val="20"/>
          <w:szCs w:val="20"/>
        </w:rPr>
      </w:pPr>
    </w:p>
    <w:tbl>
      <w:tblPr>
        <w:tblStyle w:val="-"/>
        <w:tblW w:w="5000" w:type="pct"/>
        <w:tblBorders>
          <w:insideH w:val="single" w:sz="4" w:space="0" w:color="D9D9D9" w:themeColor="background1" w:themeShade="D9"/>
        </w:tblBorders>
        <w:tblLook w:val="04A0"/>
      </w:tblPr>
      <w:tblGrid>
        <w:gridCol w:w="3652"/>
        <w:gridCol w:w="3402"/>
        <w:gridCol w:w="2517"/>
      </w:tblGrid>
      <w:tr w:rsidR="00225215" w:rsidRPr="0020494A" w:rsidTr="006D5D22">
        <w:trPr>
          <w:cnfStyle w:val="100000000000"/>
          <w:trHeight w:val="20"/>
          <w:tblHeader/>
        </w:trPr>
        <w:tc>
          <w:tcPr>
            <w:cnfStyle w:val="001000000000"/>
            <w:tcW w:w="1908" w:type="pct"/>
            <w:shd w:val="clear" w:color="auto" w:fill="D9D9D9" w:themeFill="background1" w:themeFillShade="D9"/>
            <w:hideMark/>
          </w:tcPr>
          <w:p w:rsidR="00225215" w:rsidRPr="0020494A" w:rsidRDefault="00225215" w:rsidP="006D5D22">
            <w:pPr>
              <w:rPr>
                <w:rFonts w:ascii="Arial" w:hAnsi="Arial" w:cs="Arial"/>
                <w:b w:val="0"/>
                <w:color w:val="auto"/>
                <w:sz w:val="20"/>
                <w:szCs w:val="20"/>
              </w:rPr>
            </w:pPr>
            <w:r w:rsidRPr="0020494A">
              <w:rPr>
                <w:rFonts w:ascii="Arial" w:hAnsi="Arial" w:cs="Arial"/>
                <w:b w:val="0"/>
                <w:color w:val="auto"/>
                <w:sz w:val="20"/>
                <w:szCs w:val="20"/>
              </w:rPr>
              <w:t>Диапазон цен единого объекта, руб.</w:t>
            </w:r>
          </w:p>
        </w:tc>
        <w:tc>
          <w:tcPr>
            <w:tcW w:w="1777" w:type="pct"/>
            <w:shd w:val="clear" w:color="auto" w:fill="D9D9D9" w:themeFill="background1" w:themeFillShade="D9"/>
          </w:tcPr>
          <w:p w:rsidR="00225215" w:rsidRPr="0020494A" w:rsidRDefault="00225215" w:rsidP="006D5D22">
            <w:pPr>
              <w:cnfStyle w:val="100000000000"/>
              <w:rPr>
                <w:rFonts w:ascii="Arial" w:hAnsi="Arial" w:cs="Arial"/>
                <w:b w:val="0"/>
                <w:color w:val="auto"/>
                <w:sz w:val="20"/>
                <w:szCs w:val="20"/>
              </w:rPr>
            </w:pPr>
            <w:r w:rsidRPr="0020494A">
              <w:rPr>
                <w:rFonts w:ascii="Arial" w:hAnsi="Arial" w:cs="Arial"/>
                <w:b w:val="0"/>
                <w:color w:val="auto"/>
                <w:sz w:val="20"/>
                <w:szCs w:val="20"/>
              </w:rPr>
              <w:t>Диапазон цен, руб. за 1 кв</w:t>
            </w:r>
            <w:proofErr w:type="gramStart"/>
            <w:r w:rsidRPr="0020494A">
              <w:rPr>
                <w:rFonts w:ascii="Arial" w:hAnsi="Arial" w:cs="Arial"/>
                <w:b w:val="0"/>
                <w:color w:val="auto"/>
                <w:sz w:val="20"/>
                <w:szCs w:val="20"/>
              </w:rPr>
              <w:t>.м</w:t>
            </w:r>
            <w:proofErr w:type="gramEnd"/>
          </w:p>
        </w:tc>
        <w:tc>
          <w:tcPr>
            <w:tcW w:w="1315" w:type="pct"/>
            <w:shd w:val="clear" w:color="auto" w:fill="D9D9D9" w:themeFill="background1" w:themeFillShade="D9"/>
            <w:hideMark/>
          </w:tcPr>
          <w:p w:rsidR="00225215" w:rsidRPr="0020494A" w:rsidRDefault="00225215" w:rsidP="006D5D22">
            <w:pPr>
              <w:cnfStyle w:val="100000000000"/>
              <w:rPr>
                <w:rFonts w:ascii="Arial" w:hAnsi="Arial" w:cs="Arial"/>
                <w:b w:val="0"/>
                <w:color w:val="auto"/>
                <w:sz w:val="20"/>
                <w:szCs w:val="20"/>
              </w:rPr>
            </w:pPr>
            <w:r w:rsidRPr="0020494A">
              <w:rPr>
                <w:rFonts w:ascii="Arial" w:hAnsi="Arial" w:cs="Arial"/>
                <w:b w:val="0"/>
                <w:color w:val="auto"/>
                <w:sz w:val="20"/>
                <w:szCs w:val="20"/>
              </w:rPr>
              <w:t>Ср. цена руб. за 1 кв. м.</w:t>
            </w:r>
          </w:p>
        </w:tc>
      </w:tr>
      <w:tr w:rsidR="00225215" w:rsidRPr="0020494A" w:rsidTr="006D5D22">
        <w:trPr>
          <w:trHeight w:val="20"/>
        </w:trPr>
        <w:tc>
          <w:tcPr>
            <w:cnfStyle w:val="001000000000"/>
            <w:tcW w:w="1908" w:type="pct"/>
            <w:hideMark/>
          </w:tcPr>
          <w:p w:rsidR="00225215" w:rsidRPr="0020494A" w:rsidRDefault="00225215" w:rsidP="00225215">
            <w:pPr>
              <w:rPr>
                <w:rFonts w:ascii="Arial" w:hAnsi="Arial" w:cs="Arial"/>
                <w:b/>
                <w:bCs/>
                <w:color w:val="auto"/>
                <w:sz w:val="20"/>
                <w:szCs w:val="20"/>
              </w:rPr>
            </w:pPr>
            <w:r>
              <w:rPr>
                <w:rFonts w:ascii="Arial" w:hAnsi="Arial" w:cs="Arial"/>
                <w:b/>
                <w:bCs/>
                <w:color w:val="auto"/>
                <w:sz w:val="20"/>
                <w:szCs w:val="20"/>
              </w:rPr>
              <w:t xml:space="preserve">30 </w:t>
            </w:r>
            <w:r w:rsidRPr="0020494A">
              <w:rPr>
                <w:rFonts w:ascii="Arial" w:hAnsi="Arial" w:cs="Arial"/>
                <w:b/>
                <w:bCs/>
                <w:color w:val="auto"/>
                <w:sz w:val="20"/>
                <w:szCs w:val="20"/>
              </w:rPr>
              <w:t xml:space="preserve">000 - </w:t>
            </w:r>
            <w:r>
              <w:rPr>
                <w:rFonts w:ascii="Arial" w:hAnsi="Arial" w:cs="Arial"/>
                <w:b/>
                <w:bCs/>
                <w:color w:val="auto"/>
                <w:sz w:val="20"/>
                <w:szCs w:val="20"/>
              </w:rPr>
              <w:t>25</w:t>
            </w:r>
            <w:r w:rsidRPr="0020494A">
              <w:rPr>
                <w:rFonts w:ascii="Arial" w:hAnsi="Arial" w:cs="Arial"/>
                <w:b/>
                <w:bCs/>
                <w:color w:val="auto"/>
                <w:sz w:val="20"/>
                <w:szCs w:val="20"/>
              </w:rPr>
              <w:t xml:space="preserve"> </w:t>
            </w:r>
            <w:r>
              <w:rPr>
                <w:rFonts w:ascii="Arial" w:hAnsi="Arial" w:cs="Arial"/>
                <w:b/>
                <w:bCs/>
                <w:color w:val="auto"/>
                <w:sz w:val="20"/>
                <w:szCs w:val="20"/>
              </w:rPr>
              <w:t>000</w:t>
            </w:r>
            <w:r w:rsidRPr="0020494A">
              <w:rPr>
                <w:rFonts w:ascii="Arial" w:hAnsi="Arial" w:cs="Arial"/>
                <w:b/>
                <w:bCs/>
                <w:color w:val="auto"/>
                <w:sz w:val="20"/>
                <w:szCs w:val="20"/>
              </w:rPr>
              <w:t xml:space="preserve"> </w:t>
            </w:r>
            <w:r>
              <w:rPr>
                <w:rFonts w:ascii="Arial" w:hAnsi="Arial" w:cs="Arial"/>
                <w:b/>
                <w:bCs/>
                <w:color w:val="auto"/>
                <w:sz w:val="20"/>
                <w:szCs w:val="20"/>
              </w:rPr>
              <w:t>000</w:t>
            </w:r>
          </w:p>
        </w:tc>
        <w:tc>
          <w:tcPr>
            <w:tcW w:w="1777" w:type="pct"/>
            <w:shd w:val="clear" w:color="auto" w:fill="D9D9D9" w:themeFill="background1" w:themeFillShade="D9"/>
          </w:tcPr>
          <w:p w:rsidR="00225215" w:rsidRPr="0020494A" w:rsidRDefault="00225215" w:rsidP="00225215">
            <w:pPr>
              <w:cnfStyle w:val="000000000000"/>
              <w:rPr>
                <w:rFonts w:ascii="Arial" w:hAnsi="Arial" w:cs="Arial"/>
                <w:b/>
                <w:bCs/>
                <w:color w:val="auto"/>
                <w:sz w:val="20"/>
                <w:szCs w:val="20"/>
              </w:rPr>
            </w:pPr>
            <w:r>
              <w:rPr>
                <w:rFonts w:ascii="Arial" w:hAnsi="Arial" w:cs="Arial"/>
                <w:b/>
                <w:bCs/>
                <w:color w:val="auto"/>
                <w:sz w:val="20"/>
                <w:szCs w:val="20"/>
              </w:rPr>
              <w:t>150</w:t>
            </w:r>
            <w:r w:rsidRPr="0020494A">
              <w:rPr>
                <w:rFonts w:ascii="Arial" w:hAnsi="Arial" w:cs="Arial"/>
                <w:b/>
                <w:bCs/>
                <w:color w:val="auto"/>
                <w:sz w:val="20"/>
                <w:szCs w:val="20"/>
              </w:rPr>
              <w:t xml:space="preserve"> - </w:t>
            </w:r>
            <w:r>
              <w:rPr>
                <w:rFonts w:ascii="Arial" w:hAnsi="Arial" w:cs="Arial"/>
                <w:b/>
                <w:bCs/>
                <w:color w:val="auto"/>
                <w:sz w:val="20"/>
                <w:szCs w:val="20"/>
              </w:rPr>
              <w:t>13</w:t>
            </w:r>
            <w:r w:rsidRPr="0020494A">
              <w:rPr>
                <w:rFonts w:ascii="Arial" w:hAnsi="Arial" w:cs="Arial"/>
                <w:b/>
                <w:bCs/>
                <w:color w:val="auto"/>
                <w:sz w:val="20"/>
                <w:szCs w:val="20"/>
              </w:rPr>
              <w:t xml:space="preserve"> </w:t>
            </w:r>
            <w:r>
              <w:rPr>
                <w:rFonts w:ascii="Arial" w:hAnsi="Arial" w:cs="Arial"/>
                <w:b/>
                <w:bCs/>
                <w:color w:val="auto"/>
                <w:sz w:val="20"/>
                <w:szCs w:val="20"/>
              </w:rPr>
              <w:t>180</w:t>
            </w:r>
          </w:p>
        </w:tc>
        <w:tc>
          <w:tcPr>
            <w:tcW w:w="1315" w:type="pct"/>
            <w:shd w:val="clear" w:color="auto" w:fill="D9D9D9" w:themeFill="background1" w:themeFillShade="D9"/>
            <w:hideMark/>
          </w:tcPr>
          <w:p w:rsidR="00225215" w:rsidRPr="0020494A" w:rsidRDefault="00225215" w:rsidP="00225215">
            <w:pPr>
              <w:cnfStyle w:val="000000000000"/>
              <w:rPr>
                <w:rFonts w:ascii="Arial" w:hAnsi="Arial" w:cs="Arial"/>
                <w:b/>
                <w:bCs/>
                <w:color w:val="auto"/>
                <w:sz w:val="20"/>
                <w:szCs w:val="20"/>
              </w:rPr>
            </w:pPr>
            <w:r>
              <w:rPr>
                <w:rFonts w:ascii="Arial" w:hAnsi="Arial" w:cs="Arial"/>
                <w:b/>
                <w:bCs/>
                <w:color w:val="auto"/>
                <w:sz w:val="20"/>
                <w:szCs w:val="20"/>
              </w:rPr>
              <w:t>3</w:t>
            </w:r>
            <w:r w:rsidRPr="0020494A">
              <w:rPr>
                <w:rFonts w:ascii="Arial" w:hAnsi="Arial" w:cs="Arial"/>
                <w:b/>
                <w:bCs/>
                <w:color w:val="auto"/>
                <w:sz w:val="20"/>
                <w:szCs w:val="20"/>
              </w:rPr>
              <w:t xml:space="preserve"> </w:t>
            </w:r>
            <w:r>
              <w:rPr>
                <w:rFonts w:ascii="Arial" w:hAnsi="Arial" w:cs="Arial"/>
                <w:b/>
                <w:bCs/>
                <w:color w:val="auto"/>
                <w:sz w:val="20"/>
                <w:szCs w:val="20"/>
              </w:rPr>
              <w:t>166</w:t>
            </w:r>
          </w:p>
        </w:tc>
      </w:tr>
    </w:tbl>
    <w:p w:rsidR="00225215" w:rsidRDefault="00225215" w:rsidP="00EE29B5">
      <w:pPr>
        <w:ind w:firstLine="709"/>
        <w:jc w:val="both"/>
        <w:rPr>
          <w:rFonts w:ascii="Arial" w:hAnsi="Arial" w:cs="Arial"/>
          <w:spacing w:val="-6"/>
          <w:sz w:val="20"/>
          <w:szCs w:val="20"/>
        </w:r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054DE8" w:rsidRPr="00054DE8" w:rsidRDefault="00054DE8" w:rsidP="00054DE8">
      <w:pPr>
        <w:ind w:firstLine="709"/>
        <w:jc w:val="both"/>
        <w:rPr>
          <w:rFonts w:ascii="Arial" w:hAnsi="Arial" w:cs="Arial"/>
          <w:sz w:val="20"/>
          <w:szCs w:val="20"/>
        </w:rPr>
      </w:pPr>
      <w:r w:rsidRPr="00054DE8">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w:t>
      </w:r>
      <w:r w:rsidR="00225215">
        <w:rPr>
          <w:rFonts w:ascii="Arial" w:hAnsi="Arial" w:cs="Arial"/>
          <w:sz w:val="20"/>
          <w:szCs w:val="20"/>
        </w:rPr>
        <w:t>2</w:t>
      </w:r>
      <w:r w:rsidRPr="00054DE8">
        <w:rPr>
          <w:rFonts w:ascii="Arial" w:hAnsi="Arial" w:cs="Arial"/>
          <w:sz w:val="20"/>
          <w:szCs w:val="20"/>
        </w:rPr>
        <w:t xml:space="preserve"> </w:t>
      </w:r>
      <w:r w:rsidR="00225215">
        <w:rPr>
          <w:rFonts w:ascii="Arial" w:hAnsi="Arial" w:cs="Arial"/>
          <w:sz w:val="20"/>
          <w:szCs w:val="20"/>
        </w:rPr>
        <w:t>5</w:t>
      </w:r>
      <w:r w:rsidRPr="00054DE8">
        <w:rPr>
          <w:rFonts w:ascii="Arial" w:hAnsi="Arial" w:cs="Arial"/>
          <w:sz w:val="20"/>
          <w:szCs w:val="20"/>
        </w:rPr>
        <w:t xml:space="preserve">00 руб./сот. – </w:t>
      </w:r>
      <w:r w:rsidR="00225215">
        <w:rPr>
          <w:rFonts w:ascii="Arial" w:hAnsi="Arial" w:cs="Arial"/>
          <w:sz w:val="20"/>
          <w:szCs w:val="20"/>
        </w:rPr>
        <w:t>845</w:t>
      </w:r>
      <w:r w:rsidRPr="00054DE8">
        <w:rPr>
          <w:rFonts w:ascii="Arial" w:hAnsi="Arial" w:cs="Arial"/>
          <w:sz w:val="20"/>
          <w:szCs w:val="20"/>
        </w:rPr>
        <w:t xml:space="preserve"> </w:t>
      </w:r>
      <w:r w:rsidR="00225215">
        <w:rPr>
          <w:rFonts w:ascii="Arial" w:hAnsi="Arial" w:cs="Arial"/>
          <w:sz w:val="20"/>
          <w:szCs w:val="20"/>
        </w:rPr>
        <w:t>1</w:t>
      </w:r>
      <w:r w:rsidRPr="00054DE8">
        <w:rPr>
          <w:rFonts w:ascii="Arial" w:hAnsi="Arial" w:cs="Arial"/>
          <w:sz w:val="20"/>
          <w:szCs w:val="20"/>
        </w:rPr>
        <w:t>00 руб./сот</w:t>
      </w:r>
      <w:proofErr w:type="gramStart"/>
      <w:r w:rsidRPr="00054DE8">
        <w:rPr>
          <w:rFonts w:ascii="Arial" w:hAnsi="Arial" w:cs="Arial"/>
          <w:sz w:val="20"/>
          <w:szCs w:val="20"/>
        </w:rPr>
        <w:t>.</w:t>
      </w:r>
      <w:proofErr w:type="gramEnd"/>
      <w:r w:rsidRPr="00054DE8">
        <w:rPr>
          <w:rFonts w:ascii="Arial" w:hAnsi="Arial" w:cs="Arial"/>
          <w:sz w:val="20"/>
          <w:szCs w:val="20"/>
        </w:rPr>
        <w:t xml:space="preserve"> </w:t>
      </w:r>
      <w:proofErr w:type="gramStart"/>
      <w:r w:rsidRPr="00054DE8">
        <w:rPr>
          <w:rFonts w:ascii="Arial" w:hAnsi="Arial" w:cs="Arial"/>
          <w:sz w:val="20"/>
          <w:szCs w:val="20"/>
        </w:rPr>
        <w:t>в</w:t>
      </w:r>
      <w:proofErr w:type="gramEnd"/>
      <w:r w:rsidRPr="00054DE8">
        <w:rPr>
          <w:rFonts w:ascii="Arial" w:hAnsi="Arial" w:cs="Arial"/>
          <w:sz w:val="20"/>
          <w:szCs w:val="20"/>
        </w:rPr>
        <w:t xml:space="preserve"> зависимости от различных ценообразующих факторов, в среднем же по состоянию на </w:t>
      </w:r>
      <w:r w:rsidR="00903694">
        <w:rPr>
          <w:rFonts w:ascii="Arial" w:hAnsi="Arial" w:cs="Arial"/>
          <w:sz w:val="20"/>
          <w:szCs w:val="20"/>
        </w:rPr>
        <w:t>июнь</w:t>
      </w:r>
      <w:r w:rsidRPr="00054DE8">
        <w:rPr>
          <w:rFonts w:ascii="Arial" w:hAnsi="Arial" w:cs="Arial"/>
          <w:sz w:val="20"/>
          <w:szCs w:val="20"/>
        </w:rPr>
        <w:t xml:space="preserve"> 2018 г. цена предложения земельных участков под ИЖС составляет </w:t>
      </w:r>
      <w:r w:rsidR="004643BE">
        <w:rPr>
          <w:rFonts w:ascii="Arial" w:hAnsi="Arial" w:cs="Arial"/>
          <w:sz w:val="20"/>
          <w:szCs w:val="20"/>
        </w:rPr>
        <w:t>667</w:t>
      </w:r>
      <w:r w:rsidRPr="00054DE8">
        <w:rPr>
          <w:rFonts w:ascii="Arial" w:hAnsi="Arial" w:cs="Arial"/>
          <w:sz w:val="20"/>
          <w:szCs w:val="20"/>
        </w:rPr>
        <w:t xml:space="preserve"> </w:t>
      </w:r>
      <w:r w:rsidR="004643BE">
        <w:rPr>
          <w:rFonts w:ascii="Arial" w:hAnsi="Arial" w:cs="Arial"/>
          <w:sz w:val="20"/>
          <w:szCs w:val="20"/>
        </w:rPr>
        <w:t>000</w:t>
      </w:r>
      <w:r w:rsidRPr="00054DE8">
        <w:rPr>
          <w:rFonts w:ascii="Arial" w:hAnsi="Arial" w:cs="Arial"/>
          <w:sz w:val="20"/>
          <w:szCs w:val="20"/>
        </w:rPr>
        <w:t xml:space="preserve"> руб./сот.</w:t>
      </w:r>
    </w:p>
    <w:p w:rsidR="00054DE8" w:rsidRPr="00054DE8" w:rsidRDefault="00054DE8" w:rsidP="00054DE8">
      <w:pPr>
        <w:ind w:firstLine="709"/>
        <w:jc w:val="both"/>
        <w:rPr>
          <w:rFonts w:ascii="Arial" w:hAnsi="Arial" w:cs="Arial"/>
          <w:sz w:val="20"/>
          <w:szCs w:val="20"/>
        </w:rPr>
      </w:pPr>
      <w:r w:rsidRPr="00054DE8">
        <w:rPr>
          <w:rFonts w:ascii="Arial" w:hAnsi="Arial" w:cs="Arial"/>
          <w:sz w:val="20"/>
          <w:szCs w:val="20"/>
        </w:rPr>
        <w:t xml:space="preserve">Цена предложения земельных участков под коммерческую застройку в диапазоне от </w:t>
      </w:r>
      <w:r w:rsidR="004643BE">
        <w:rPr>
          <w:rFonts w:ascii="Arial" w:hAnsi="Arial" w:cs="Arial"/>
          <w:sz w:val="20"/>
          <w:szCs w:val="20"/>
        </w:rPr>
        <w:t>1</w:t>
      </w:r>
      <w:r w:rsidRPr="00054DE8">
        <w:rPr>
          <w:rFonts w:ascii="Arial" w:hAnsi="Arial" w:cs="Arial"/>
          <w:sz w:val="20"/>
          <w:szCs w:val="20"/>
        </w:rPr>
        <w:t xml:space="preserve">5 </w:t>
      </w:r>
      <w:r w:rsidR="004643BE">
        <w:rPr>
          <w:rFonts w:ascii="Arial" w:hAnsi="Arial" w:cs="Arial"/>
          <w:sz w:val="20"/>
          <w:szCs w:val="20"/>
        </w:rPr>
        <w:t>000</w:t>
      </w:r>
      <w:r w:rsidRPr="00054DE8">
        <w:rPr>
          <w:rFonts w:ascii="Arial" w:hAnsi="Arial" w:cs="Arial"/>
          <w:sz w:val="20"/>
          <w:szCs w:val="20"/>
        </w:rPr>
        <w:t xml:space="preserve"> руб./сот. – </w:t>
      </w:r>
      <w:r w:rsidR="004643BE">
        <w:rPr>
          <w:rFonts w:ascii="Arial" w:hAnsi="Arial" w:cs="Arial"/>
          <w:sz w:val="20"/>
          <w:szCs w:val="20"/>
        </w:rPr>
        <w:t>1 </w:t>
      </w:r>
      <w:r w:rsidRPr="00054DE8">
        <w:rPr>
          <w:rFonts w:ascii="Arial" w:hAnsi="Arial" w:cs="Arial"/>
          <w:sz w:val="20"/>
          <w:szCs w:val="20"/>
        </w:rPr>
        <w:t>3</w:t>
      </w:r>
      <w:r w:rsidR="004643BE">
        <w:rPr>
          <w:rFonts w:ascii="Arial" w:hAnsi="Arial" w:cs="Arial"/>
          <w:sz w:val="20"/>
          <w:szCs w:val="20"/>
        </w:rPr>
        <w:t>18 000</w:t>
      </w:r>
      <w:r w:rsidRPr="00054DE8">
        <w:rPr>
          <w:rFonts w:ascii="Arial" w:hAnsi="Arial" w:cs="Arial"/>
          <w:sz w:val="20"/>
          <w:szCs w:val="20"/>
        </w:rPr>
        <w:t xml:space="preserve"> руб./сот</w:t>
      </w:r>
      <w:proofErr w:type="gramStart"/>
      <w:r w:rsidRPr="00054DE8">
        <w:rPr>
          <w:rFonts w:ascii="Arial" w:hAnsi="Arial" w:cs="Arial"/>
          <w:sz w:val="20"/>
          <w:szCs w:val="20"/>
        </w:rPr>
        <w:t>.</w:t>
      </w:r>
      <w:proofErr w:type="gramEnd"/>
      <w:r w:rsidRPr="00054DE8">
        <w:rPr>
          <w:rFonts w:ascii="Arial" w:hAnsi="Arial" w:cs="Arial"/>
          <w:sz w:val="20"/>
          <w:szCs w:val="20"/>
        </w:rPr>
        <w:t xml:space="preserve"> (</w:t>
      </w:r>
      <w:proofErr w:type="gramStart"/>
      <w:r w:rsidRPr="00054DE8">
        <w:rPr>
          <w:rFonts w:ascii="Arial" w:hAnsi="Arial" w:cs="Arial"/>
          <w:sz w:val="20"/>
          <w:szCs w:val="20"/>
        </w:rPr>
        <w:t>б</w:t>
      </w:r>
      <w:proofErr w:type="gramEnd"/>
      <w:r w:rsidRPr="00054DE8">
        <w:rPr>
          <w:rFonts w:ascii="Arial" w:hAnsi="Arial" w:cs="Arial"/>
          <w:sz w:val="20"/>
          <w:szCs w:val="20"/>
        </w:rPr>
        <w:t>ез учета скидки на торг) составляет 3</w:t>
      </w:r>
      <w:r w:rsidR="004643BE">
        <w:rPr>
          <w:rFonts w:ascii="Arial" w:hAnsi="Arial" w:cs="Arial"/>
          <w:sz w:val="20"/>
          <w:szCs w:val="20"/>
        </w:rPr>
        <w:t>16 600</w:t>
      </w:r>
      <w:r w:rsidRPr="00054DE8">
        <w:rPr>
          <w:rFonts w:ascii="Arial" w:hAnsi="Arial" w:cs="Arial"/>
          <w:sz w:val="20"/>
          <w:szCs w:val="20"/>
        </w:rPr>
        <w:t xml:space="preserve"> руб./сот.</w:t>
      </w:r>
    </w:p>
    <w:p w:rsidR="004643BE" w:rsidRPr="00731500" w:rsidRDefault="004643BE" w:rsidP="004643BE">
      <w:pPr>
        <w:ind w:firstLine="709"/>
        <w:jc w:val="both"/>
        <w:rPr>
          <w:rFonts w:ascii="Arial" w:hAnsi="Arial" w:cs="Arial"/>
          <w:sz w:val="20"/>
          <w:szCs w:val="20"/>
        </w:rPr>
      </w:pPr>
      <w:r w:rsidRPr="00731500">
        <w:rPr>
          <w:rFonts w:ascii="Arial" w:hAnsi="Arial" w:cs="Arial"/>
          <w:sz w:val="20"/>
          <w:szCs w:val="20"/>
        </w:rPr>
        <w:t xml:space="preserve">Динамика рынка недвижимости: наблюдается стагнация на рынке квартир </w:t>
      </w:r>
      <w:r>
        <w:rPr>
          <w:rFonts w:ascii="Arial" w:hAnsi="Arial" w:cs="Arial"/>
          <w:sz w:val="20"/>
          <w:szCs w:val="20"/>
        </w:rPr>
        <w:t xml:space="preserve">и </w:t>
      </w:r>
      <w:r w:rsidRPr="00731500">
        <w:rPr>
          <w:rFonts w:ascii="Arial" w:hAnsi="Arial" w:cs="Arial"/>
          <w:sz w:val="20"/>
          <w:szCs w:val="20"/>
        </w:rPr>
        <w:t xml:space="preserve">домовладений. Основными факторами данных процессов являются скептические ожидания рынка на фоне снижения платежеспособного спроса. </w:t>
      </w:r>
    </w:p>
    <w:p w:rsidR="004643BE" w:rsidRPr="00731500" w:rsidRDefault="004643BE" w:rsidP="004643BE">
      <w:pPr>
        <w:ind w:firstLine="709"/>
        <w:jc w:val="both"/>
        <w:rPr>
          <w:rFonts w:ascii="Arial" w:hAnsi="Arial" w:cs="Arial"/>
          <w:sz w:val="20"/>
          <w:szCs w:val="20"/>
        </w:rPr>
      </w:pPr>
      <w:r w:rsidRPr="00731500">
        <w:rPr>
          <w:rFonts w:ascii="Arial" w:hAnsi="Arial" w:cs="Arial"/>
          <w:sz w:val="20"/>
          <w:szCs w:val="20"/>
        </w:rPr>
        <w:t xml:space="preserve">Спрос, предложение: наблюдается перевес предложения над спросом, </w:t>
      </w:r>
      <w:r>
        <w:rPr>
          <w:rFonts w:ascii="Arial" w:hAnsi="Arial" w:cs="Arial"/>
          <w:sz w:val="20"/>
          <w:szCs w:val="20"/>
        </w:rPr>
        <w:t>что</w:t>
      </w:r>
      <w:r w:rsidRPr="00731500">
        <w:rPr>
          <w:rFonts w:ascii="Arial" w:hAnsi="Arial" w:cs="Arial"/>
          <w:sz w:val="20"/>
          <w:szCs w:val="20"/>
        </w:rPr>
        <w:t xml:space="preserve"> обусловлено сложной экономической ситуацией</w:t>
      </w:r>
      <w:r>
        <w:rPr>
          <w:rFonts w:ascii="Arial" w:hAnsi="Arial" w:cs="Arial"/>
          <w:sz w:val="20"/>
          <w:szCs w:val="20"/>
        </w:rPr>
        <w:t xml:space="preserve"> в стране, большой </w:t>
      </w:r>
      <w:proofErr w:type="spellStart"/>
      <w:r>
        <w:rPr>
          <w:rFonts w:ascii="Arial" w:hAnsi="Arial" w:cs="Arial"/>
          <w:sz w:val="20"/>
          <w:szCs w:val="20"/>
        </w:rPr>
        <w:t>закредитованностью</w:t>
      </w:r>
      <w:proofErr w:type="spellEnd"/>
      <w:r>
        <w:rPr>
          <w:rFonts w:ascii="Arial" w:hAnsi="Arial" w:cs="Arial"/>
          <w:sz w:val="20"/>
          <w:szCs w:val="20"/>
        </w:rPr>
        <w:t xml:space="preserve"> населения</w:t>
      </w:r>
      <w:r w:rsidRPr="00731500">
        <w:rPr>
          <w:rFonts w:ascii="Arial" w:hAnsi="Arial" w:cs="Arial"/>
          <w:sz w:val="20"/>
          <w:szCs w:val="20"/>
        </w:rPr>
        <w:t>.</w:t>
      </w:r>
    </w:p>
    <w:p w:rsidR="004643BE" w:rsidRDefault="004643BE" w:rsidP="004643BE">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2D1E4F" w:rsidRPr="00CC1B3D" w:rsidRDefault="002D1E4F" w:rsidP="004643BE">
      <w:pPr>
        <w:ind w:firstLine="709"/>
        <w:jc w:val="both"/>
        <w:rPr>
          <w:rFonts w:ascii="Arial" w:hAnsi="Arial" w:cs="Arial"/>
          <w:i/>
          <w:sz w:val="20"/>
          <w:szCs w:val="20"/>
        </w:rPr>
      </w:pP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D9" w:rsidRDefault="00F873D9" w:rsidP="00D06CB8">
      <w:r>
        <w:separator/>
      </w:r>
    </w:p>
  </w:endnote>
  <w:endnote w:type="continuationSeparator" w:id="0">
    <w:p w:rsidR="00F873D9" w:rsidRDefault="00F873D9" w:rsidP="00D06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D9" w:rsidRDefault="00F873D9" w:rsidP="00D06CB8">
      <w:r>
        <w:separator/>
      </w:r>
    </w:p>
  </w:footnote>
  <w:footnote w:type="continuationSeparator" w:id="0">
    <w:p w:rsidR="00F873D9" w:rsidRDefault="00F873D9" w:rsidP="00D06CB8">
      <w:r>
        <w:continuationSeparator/>
      </w:r>
    </w:p>
  </w:footnote>
  <w:footnote w:id="1">
    <w:p w:rsidR="00162FCF" w:rsidRDefault="00162FCF" w:rsidP="00162FCF">
      <w:pPr>
        <w:pStyle w:val="a4"/>
      </w:pPr>
      <w:r>
        <w:rPr>
          <w:rStyle w:val="a6"/>
        </w:rPr>
        <w:t>"</w:t>
      </w:r>
      <w:r>
        <w:t xml:space="preserve"> Статистический ежегодник «Республика Калмыкия 2017», Управление Федеральной службы государственной статистики по Астраханской области и Республике Калмыкия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5F3B0A"/>
    <w:multiLevelType w:val="hybridMultilevel"/>
    <w:tmpl w:val="5CAC8E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rsids>
    <w:rsidRoot w:val="00D06CB8"/>
    <w:rsid w:val="0000167D"/>
    <w:rsid w:val="00010975"/>
    <w:rsid w:val="00010B4A"/>
    <w:rsid w:val="00026053"/>
    <w:rsid w:val="00036C63"/>
    <w:rsid w:val="00040F41"/>
    <w:rsid w:val="00042542"/>
    <w:rsid w:val="00043520"/>
    <w:rsid w:val="00054DE8"/>
    <w:rsid w:val="00061A43"/>
    <w:rsid w:val="00083392"/>
    <w:rsid w:val="00092979"/>
    <w:rsid w:val="000931D2"/>
    <w:rsid w:val="000A10AD"/>
    <w:rsid w:val="000A3B44"/>
    <w:rsid w:val="000B2A8F"/>
    <w:rsid w:val="000C278A"/>
    <w:rsid w:val="000C54B6"/>
    <w:rsid w:val="000C5AB4"/>
    <w:rsid w:val="000E2859"/>
    <w:rsid w:val="000F2142"/>
    <w:rsid w:val="00100C87"/>
    <w:rsid w:val="0010237B"/>
    <w:rsid w:val="00114E0B"/>
    <w:rsid w:val="00122BD3"/>
    <w:rsid w:val="00126DE8"/>
    <w:rsid w:val="001416BA"/>
    <w:rsid w:val="00151D7B"/>
    <w:rsid w:val="00152F86"/>
    <w:rsid w:val="0016047E"/>
    <w:rsid w:val="001626D4"/>
    <w:rsid w:val="00162FCF"/>
    <w:rsid w:val="00171266"/>
    <w:rsid w:val="00175F03"/>
    <w:rsid w:val="00180894"/>
    <w:rsid w:val="001953BE"/>
    <w:rsid w:val="001A0DDC"/>
    <w:rsid w:val="001D5F1E"/>
    <w:rsid w:val="001D6FF2"/>
    <w:rsid w:val="001E2E10"/>
    <w:rsid w:val="0020494A"/>
    <w:rsid w:val="00204CB3"/>
    <w:rsid w:val="0022053B"/>
    <w:rsid w:val="00225215"/>
    <w:rsid w:val="00226290"/>
    <w:rsid w:val="00232223"/>
    <w:rsid w:val="0023694D"/>
    <w:rsid w:val="0024360A"/>
    <w:rsid w:val="00250A15"/>
    <w:rsid w:val="00257D55"/>
    <w:rsid w:val="00262FB2"/>
    <w:rsid w:val="002724A1"/>
    <w:rsid w:val="00287605"/>
    <w:rsid w:val="00287DDF"/>
    <w:rsid w:val="00296811"/>
    <w:rsid w:val="002A1C23"/>
    <w:rsid w:val="002A56E1"/>
    <w:rsid w:val="002D1E4F"/>
    <w:rsid w:val="002D1E9F"/>
    <w:rsid w:val="002E4D02"/>
    <w:rsid w:val="002E6C33"/>
    <w:rsid w:val="002F626B"/>
    <w:rsid w:val="003007EC"/>
    <w:rsid w:val="003146B1"/>
    <w:rsid w:val="00321DAE"/>
    <w:rsid w:val="00330404"/>
    <w:rsid w:val="003465E8"/>
    <w:rsid w:val="00347325"/>
    <w:rsid w:val="0035714C"/>
    <w:rsid w:val="00360F98"/>
    <w:rsid w:val="00384998"/>
    <w:rsid w:val="00385E1F"/>
    <w:rsid w:val="00386691"/>
    <w:rsid w:val="003A133B"/>
    <w:rsid w:val="003A6E30"/>
    <w:rsid w:val="003B3C94"/>
    <w:rsid w:val="003B3E08"/>
    <w:rsid w:val="003D0E85"/>
    <w:rsid w:val="003D53B9"/>
    <w:rsid w:val="003E390C"/>
    <w:rsid w:val="003F535E"/>
    <w:rsid w:val="00426F70"/>
    <w:rsid w:val="004317E8"/>
    <w:rsid w:val="00432021"/>
    <w:rsid w:val="00440C76"/>
    <w:rsid w:val="004439DC"/>
    <w:rsid w:val="00444E16"/>
    <w:rsid w:val="00446952"/>
    <w:rsid w:val="004643BE"/>
    <w:rsid w:val="00487975"/>
    <w:rsid w:val="00497175"/>
    <w:rsid w:val="004A4F09"/>
    <w:rsid w:val="004B0921"/>
    <w:rsid w:val="004D32E6"/>
    <w:rsid w:val="004D52AE"/>
    <w:rsid w:val="004E7442"/>
    <w:rsid w:val="005006BA"/>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0265"/>
    <w:rsid w:val="005F5ABC"/>
    <w:rsid w:val="0061300E"/>
    <w:rsid w:val="006340C2"/>
    <w:rsid w:val="006346B2"/>
    <w:rsid w:val="00634B9C"/>
    <w:rsid w:val="006475AC"/>
    <w:rsid w:val="006479EF"/>
    <w:rsid w:val="00647F9C"/>
    <w:rsid w:val="00657B4E"/>
    <w:rsid w:val="00661195"/>
    <w:rsid w:val="00664E7C"/>
    <w:rsid w:val="00673A93"/>
    <w:rsid w:val="00677E63"/>
    <w:rsid w:val="00681252"/>
    <w:rsid w:val="00681804"/>
    <w:rsid w:val="00687811"/>
    <w:rsid w:val="00691C6E"/>
    <w:rsid w:val="006936E0"/>
    <w:rsid w:val="006B3E43"/>
    <w:rsid w:val="006C3FD7"/>
    <w:rsid w:val="006D03F4"/>
    <w:rsid w:val="00705DE7"/>
    <w:rsid w:val="007177FA"/>
    <w:rsid w:val="00731500"/>
    <w:rsid w:val="007344E9"/>
    <w:rsid w:val="007367F0"/>
    <w:rsid w:val="00746776"/>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4249"/>
    <w:rsid w:val="00835352"/>
    <w:rsid w:val="0085145F"/>
    <w:rsid w:val="008558F9"/>
    <w:rsid w:val="00856BCD"/>
    <w:rsid w:val="00870A7E"/>
    <w:rsid w:val="008778DB"/>
    <w:rsid w:val="00884B18"/>
    <w:rsid w:val="00892393"/>
    <w:rsid w:val="008967BE"/>
    <w:rsid w:val="008977D1"/>
    <w:rsid w:val="008A0238"/>
    <w:rsid w:val="008A4D7B"/>
    <w:rsid w:val="008B1DDE"/>
    <w:rsid w:val="008B4F9D"/>
    <w:rsid w:val="008B5251"/>
    <w:rsid w:val="008B7FE3"/>
    <w:rsid w:val="008C0E43"/>
    <w:rsid w:val="008C7573"/>
    <w:rsid w:val="008D0F24"/>
    <w:rsid w:val="008D49A3"/>
    <w:rsid w:val="008E58C3"/>
    <w:rsid w:val="008F74DE"/>
    <w:rsid w:val="00903694"/>
    <w:rsid w:val="009169BA"/>
    <w:rsid w:val="009251A9"/>
    <w:rsid w:val="0093188D"/>
    <w:rsid w:val="009327AB"/>
    <w:rsid w:val="00950AE9"/>
    <w:rsid w:val="00955D8B"/>
    <w:rsid w:val="00970EDE"/>
    <w:rsid w:val="0097392E"/>
    <w:rsid w:val="009840AF"/>
    <w:rsid w:val="009846AC"/>
    <w:rsid w:val="009B7FA4"/>
    <w:rsid w:val="009E0E89"/>
    <w:rsid w:val="009E30B6"/>
    <w:rsid w:val="009F190E"/>
    <w:rsid w:val="009F40A2"/>
    <w:rsid w:val="00A0089D"/>
    <w:rsid w:val="00A0513B"/>
    <w:rsid w:val="00A10963"/>
    <w:rsid w:val="00A1476E"/>
    <w:rsid w:val="00A2705D"/>
    <w:rsid w:val="00A31621"/>
    <w:rsid w:val="00A44821"/>
    <w:rsid w:val="00A45721"/>
    <w:rsid w:val="00A555BD"/>
    <w:rsid w:val="00A57642"/>
    <w:rsid w:val="00A6484B"/>
    <w:rsid w:val="00AA59B3"/>
    <w:rsid w:val="00AB0E1F"/>
    <w:rsid w:val="00AC08E9"/>
    <w:rsid w:val="00AC2A5C"/>
    <w:rsid w:val="00AC7B0D"/>
    <w:rsid w:val="00AF6C45"/>
    <w:rsid w:val="00B00FF2"/>
    <w:rsid w:val="00B14967"/>
    <w:rsid w:val="00B3341F"/>
    <w:rsid w:val="00B33D45"/>
    <w:rsid w:val="00B37E7F"/>
    <w:rsid w:val="00B43185"/>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53FEA"/>
    <w:rsid w:val="00C6671E"/>
    <w:rsid w:val="00C7007C"/>
    <w:rsid w:val="00C71606"/>
    <w:rsid w:val="00C75DB8"/>
    <w:rsid w:val="00C83E8A"/>
    <w:rsid w:val="00C9555E"/>
    <w:rsid w:val="00C96196"/>
    <w:rsid w:val="00C9634C"/>
    <w:rsid w:val="00C97854"/>
    <w:rsid w:val="00CC1B3D"/>
    <w:rsid w:val="00CD0698"/>
    <w:rsid w:val="00CD74AA"/>
    <w:rsid w:val="00D0330B"/>
    <w:rsid w:val="00D06456"/>
    <w:rsid w:val="00D06CB8"/>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E000B"/>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873D9"/>
    <w:rsid w:val="00FA00FA"/>
    <w:rsid w:val="00FC0673"/>
    <w:rsid w:val="00FC2982"/>
    <w:rsid w:val="00FC7922"/>
    <w:rsid w:val="00FD082E"/>
    <w:rsid w:val="00FD44FA"/>
    <w:rsid w:val="00FE2497"/>
    <w:rsid w:val="00FE69FA"/>
    <w:rsid w:val="00FF4B0C"/>
    <w:rsid w:val="00FF51B4"/>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rPr>
  </w:style>
  <w:style w:type="character" w:customStyle="1" w:styleId="af3">
    <w:name w:val="Текст выноски Знак"/>
    <w:basedOn w:val="a0"/>
    <w:link w:val="af2"/>
    <w:rsid w:val="00D06CB8"/>
    <w:rPr>
      <w:rFonts w:ascii="Tahoma" w:eastAsia="Times New Roman" w:hAnsi="Tahoma" w:cs="Times New Roman"/>
      <w:sz w:val="16"/>
      <w:szCs w:val="16"/>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Ind w:w="0"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0" w:type="dxa"/>
        <w:left w:w="108" w:type="dxa"/>
        <w:bottom w:w="0" w:type="dxa"/>
        <w:right w:w="108" w:type="dxa"/>
      </w:tblCellMar>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
    <w:name w:val="Средняя заливка 1 - Акцент 11"/>
    <w:basedOn w:val="a1"/>
    <w:uiPriority w:val="63"/>
    <w:rsid w:val="00160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160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FC298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0">
    <w:name w:val="Средний список 1 - Акцент 11"/>
    <w:basedOn w:val="a1"/>
    <w:uiPriority w:val="65"/>
    <w:rsid w:val="00FC298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Ind w:w="0" w:type="dxa"/>
      <w:tblCellMar>
        <w:top w:w="0" w:type="dxa"/>
        <w:left w:w="108" w:type="dxa"/>
        <w:bottom w:w="0" w:type="dxa"/>
        <w:right w:w="108" w:type="dxa"/>
      </w:tblCellMa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paragraph" w:customStyle="1" w:styleId="margin-bottom-20">
    <w:name w:val="margin-bottom-20"/>
    <w:basedOn w:val="a"/>
    <w:rsid w:val="00A31621"/>
    <w:pPr>
      <w:spacing w:before="100" w:beforeAutospacing="1" w:after="100" w:afterAutospacing="1"/>
    </w:pPr>
  </w:style>
  <w:style w:type="character" w:customStyle="1" w:styleId="apple-converted-space">
    <w:name w:val="apple-converted-space"/>
    <w:basedOn w:val="a0"/>
    <w:rsid w:val="00A31621"/>
  </w:style>
  <w:style w:type="character" w:customStyle="1" w:styleId="label">
    <w:name w:val="label"/>
    <w:basedOn w:val="a0"/>
    <w:rsid w:val="00A31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0">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r="http://schemas.openxmlformats.org/officeDocument/2006/relationships" xmlns:w="http://schemas.openxmlformats.org/wordprocessingml/2006/main">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594022062">
          <w:marLeft w:val="0"/>
          <w:marRight w:val="0"/>
          <w:marTop w:val="0"/>
          <w:marBottom w:val="0"/>
          <w:divBdr>
            <w:top w:val="none" w:sz="0" w:space="0" w:color="auto"/>
            <w:left w:val="none" w:sz="0" w:space="0" w:color="auto"/>
            <w:bottom w:val="none" w:sz="0" w:space="0" w:color="auto"/>
            <w:right w:val="none" w:sz="0" w:space="0" w:color="auto"/>
          </w:divBdr>
        </w:div>
      </w:divsChild>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983774445">
      <w:bodyDiv w:val="1"/>
      <w:marLeft w:val="0"/>
      <w:marRight w:val="0"/>
      <w:marTop w:val="0"/>
      <w:marBottom w:val="0"/>
      <w:divBdr>
        <w:top w:val="none" w:sz="0" w:space="0" w:color="auto"/>
        <w:left w:val="none" w:sz="0" w:space="0" w:color="auto"/>
        <w:bottom w:val="none" w:sz="0" w:space="0" w:color="auto"/>
        <w:right w:val="none" w:sz="0" w:space="0" w:color="auto"/>
      </w:divBdr>
      <w:divsChild>
        <w:div w:id="1818837685">
          <w:marLeft w:val="0"/>
          <w:marRight w:val="0"/>
          <w:marTop w:val="0"/>
          <w:marBottom w:val="0"/>
          <w:divBdr>
            <w:top w:val="none" w:sz="0" w:space="0" w:color="auto"/>
            <w:left w:val="none" w:sz="0" w:space="0" w:color="auto"/>
            <w:bottom w:val="none" w:sz="0" w:space="0" w:color="auto"/>
            <w:right w:val="none" w:sz="0" w:space="0" w:color="auto"/>
          </w:divBdr>
          <w:divsChild>
            <w:div w:id="1948004174">
              <w:marLeft w:val="0"/>
              <w:marRight w:val="0"/>
              <w:marTop w:val="0"/>
              <w:marBottom w:val="0"/>
              <w:divBdr>
                <w:top w:val="none" w:sz="0" w:space="0" w:color="auto"/>
                <w:left w:val="none" w:sz="0" w:space="0" w:color="auto"/>
                <w:bottom w:val="none" w:sz="0" w:space="0" w:color="auto"/>
                <w:right w:val="none" w:sz="0" w:space="0" w:color="auto"/>
              </w:divBdr>
              <w:divsChild>
                <w:div w:id="782270032">
                  <w:marLeft w:val="0"/>
                  <w:marRight w:val="0"/>
                  <w:marTop w:val="0"/>
                  <w:marBottom w:val="0"/>
                  <w:divBdr>
                    <w:top w:val="none" w:sz="0" w:space="0" w:color="auto"/>
                    <w:left w:val="none" w:sz="0" w:space="0" w:color="auto"/>
                    <w:bottom w:val="none" w:sz="0" w:space="0" w:color="auto"/>
                    <w:right w:val="none" w:sz="0" w:space="0" w:color="auto"/>
                  </w:divBdr>
                  <w:divsChild>
                    <w:div w:id="925069611">
                      <w:marLeft w:val="0"/>
                      <w:marRight w:val="0"/>
                      <w:marTop w:val="0"/>
                      <w:marBottom w:val="0"/>
                      <w:divBdr>
                        <w:top w:val="none" w:sz="0" w:space="0" w:color="auto"/>
                        <w:left w:val="none" w:sz="0" w:space="0" w:color="auto"/>
                        <w:bottom w:val="none" w:sz="0" w:space="0" w:color="auto"/>
                        <w:right w:val="none" w:sz="0" w:space="0" w:color="auto"/>
                      </w:divBdr>
                      <w:divsChild>
                        <w:div w:id="17873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1.6181229773462796E-2"/>
          <c:y val="1.5360983102918592E-2"/>
          <c:w val="0.70477473689575232"/>
          <c:h val="0.91551459293394755"/>
        </c:manualLayout>
      </c:layout>
      <c:pie3DChart>
        <c:varyColors val="1"/>
        <c:ser>
          <c:idx val="0"/>
          <c:order val="0"/>
          <c:explosion val="25"/>
          <c:cat>
            <c:strRef>
              <c:f>Лист1!$B$2:$B$3</c:f>
              <c:strCache>
                <c:ptCount val="2"/>
                <c:pt idx="0">
                  <c:v>Квартиры 58% </c:v>
                </c:pt>
                <c:pt idx="1">
                  <c:v>Домовладения 42%</c:v>
                </c:pt>
              </c:strCache>
            </c:strRef>
          </c:cat>
          <c:val>
            <c:numRef>
              <c:f>Лист1!$C$2:$C$3</c:f>
              <c:numCache>
                <c:formatCode>General</c:formatCode>
                <c:ptCount val="2"/>
                <c:pt idx="0">
                  <c:v>740</c:v>
                </c:pt>
                <c:pt idx="1">
                  <c:v>541</c:v>
                </c:pt>
              </c:numCache>
            </c:numRef>
          </c:val>
        </c:ser>
      </c:pie3DChart>
      <c:spPr>
        <a:noFill/>
        <a:ln w="25400">
          <a:noFill/>
        </a:ln>
      </c:spPr>
    </c:plotArea>
    <c:legend>
      <c:legendPos val="r"/>
      <c:layout>
        <c:manualLayout>
          <c:xMode val="edge"/>
          <c:yMode val="edge"/>
          <c:x val="0.65423684903464741"/>
          <c:y val="6.3428160189653721E-2"/>
          <c:w val="0.3240478131981076"/>
          <c:h val="0.16743438320209991"/>
        </c:manualLayout>
      </c:layout>
      <c:txPr>
        <a:bodyPr/>
        <a:lstStyle/>
        <a:p>
          <a:pPr rtl="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explosion val="25"/>
          <c:cat>
            <c:strRef>
              <c:f>Лист1!$A$3:$A$6</c:f>
              <c:strCache>
                <c:ptCount val="4"/>
                <c:pt idx="0">
                  <c:v>1-комнатные 21%</c:v>
                </c:pt>
                <c:pt idx="1">
                  <c:v>2-комнатные 29%</c:v>
                </c:pt>
                <c:pt idx="2">
                  <c:v>3-комнатные 37%</c:v>
                </c:pt>
                <c:pt idx="3">
                  <c:v>многокомнатные 13%</c:v>
                </c:pt>
              </c:strCache>
            </c:strRef>
          </c:cat>
          <c:val>
            <c:numRef>
              <c:f>Лист1!$B$3:$B$6</c:f>
              <c:numCache>
                <c:formatCode>_-* #,##0_р_._-;\-* #,##0_р_._-;_-* "-"??_р_._-;_-@_-</c:formatCode>
                <c:ptCount val="4"/>
                <c:pt idx="0">
                  <c:v>21.4574898785425</c:v>
                </c:pt>
                <c:pt idx="1">
                  <c:v>29.419703103913626</c:v>
                </c:pt>
                <c:pt idx="2">
                  <c:v>36.572199730094468</c:v>
                </c:pt>
                <c:pt idx="3">
                  <c:v>12.550607287449402</c:v>
                </c:pt>
              </c:numCache>
            </c:numRef>
          </c:val>
        </c:ser>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cat>
            <c:strRef>
              <c:f>Лист2!$A$4:$A$5</c:f>
              <c:strCache>
                <c:ptCount val="2"/>
                <c:pt idx="0">
                  <c:v>торгово-офисная 77%</c:v>
                </c:pt>
                <c:pt idx="1">
                  <c:v>производственно-складская 23%</c:v>
                </c:pt>
              </c:strCache>
            </c:strRef>
          </c:cat>
          <c:val>
            <c:numRef>
              <c:f>Лист2!$B$4:$B$5</c:f>
              <c:numCache>
                <c:formatCode>0</c:formatCode>
                <c:ptCount val="2"/>
                <c:pt idx="0">
                  <c:v>76.923076923076891</c:v>
                </c:pt>
                <c:pt idx="1">
                  <c:v>23.076923076923066</c:v>
                </c:pt>
              </c:numCache>
            </c:numRef>
          </c:val>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explosion val="25"/>
          <c:cat>
            <c:strRef>
              <c:f>Лист3!$A$3:$A$4</c:f>
              <c:strCache>
                <c:ptCount val="2"/>
                <c:pt idx="0">
                  <c:v>ИЖС 96%</c:v>
                </c:pt>
                <c:pt idx="1">
                  <c:v>Коммерческая застройка 4%</c:v>
                </c:pt>
              </c:strCache>
            </c:strRef>
          </c:cat>
          <c:val>
            <c:numRef>
              <c:f>Лист3!$B$3:$B$4</c:f>
              <c:numCache>
                <c:formatCode>General</c:formatCode>
                <c:ptCount val="2"/>
                <c:pt idx="0">
                  <c:v>402</c:v>
                </c:pt>
                <c:pt idx="1">
                  <c:v>16</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C4F4-4B2A-47DC-B06F-ED2A035D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7</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130</cp:revision>
  <cp:lastPrinted>2018-03-12T08:48:00Z</cp:lastPrinted>
  <dcterms:created xsi:type="dcterms:W3CDTF">2017-04-03T07:33:00Z</dcterms:created>
  <dcterms:modified xsi:type="dcterms:W3CDTF">2018-06-27T12:53:00Z</dcterms:modified>
</cp:coreProperties>
</file>