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Близость морей и океанов заметно сказывается на климате области, который является переходным </w:t>
      </w:r>
      <w:proofErr w:type="gramStart"/>
      <w:r w:rsidRPr="00005142">
        <w:rPr>
          <w:sz w:val="22"/>
          <w:szCs w:val="22"/>
        </w:rPr>
        <w:t>между</w:t>
      </w:r>
      <w:proofErr w:type="gramEnd"/>
      <w:r w:rsidRPr="00005142">
        <w:rPr>
          <w:sz w:val="22"/>
          <w:szCs w:val="22"/>
        </w:rPr>
        <w:t xml:space="preserve">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</w:t>
      </w:r>
      <w:proofErr w:type="gramStart"/>
      <w:r w:rsidRPr="00005142">
        <w:rPr>
          <w:sz w:val="22"/>
          <w:szCs w:val="22"/>
        </w:rPr>
        <w:t>России</w:t>
      </w:r>
      <w:proofErr w:type="gramEnd"/>
      <w:r w:rsidRPr="00005142">
        <w:rPr>
          <w:sz w:val="22"/>
          <w:szCs w:val="22"/>
        </w:rPr>
        <w:t xml:space="preserve">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</w:t>
      </w:r>
      <w:proofErr w:type="gramStart"/>
      <w:r w:rsidRPr="00005142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005142">
        <w:rPr>
          <w:rFonts w:ascii="Times New Roman" w:hAnsi="Times New Roman" w:cs="Times New Roman"/>
          <w:shd w:val="clear" w:color="auto" w:fill="FFFFFF"/>
        </w:rPr>
        <w:t xml:space="preserve">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="00005142">
        <w:t>61161,0</w:t>
      </w:r>
      <w:r w:rsidR="00005142" w:rsidRPr="00005142">
        <w:rPr>
          <w:rFonts w:ascii="Times New Roman" w:hAnsi="Times New Roman"/>
          <w:sz w:val="22"/>
          <w:szCs w:val="22"/>
        </w:rPr>
        <w:t xml:space="preserve">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610FE8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К январю-</w:t>
      </w:r>
      <w:r w:rsidR="00005142">
        <w:rPr>
          <w:rFonts w:ascii="Times New Roman" w:hAnsi="Times New Roman" w:cs="Times New Roman"/>
          <w:lang w:eastAsia="ru-RU"/>
        </w:rPr>
        <w:t>марту</w:t>
      </w:r>
      <w:r w:rsidRPr="00005142">
        <w:rPr>
          <w:rFonts w:ascii="Times New Roman" w:hAnsi="Times New Roman" w:cs="Times New Roman"/>
          <w:lang w:eastAsia="ru-RU"/>
        </w:rPr>
        <w:t xml:space="preserve"> 2017 года – </w:t>
      </w:r>
      <w:r w:rsidR="00005142">
        <w:rPr>
          <w:rFonts w:ascii="Times New Roman" w:hAnsi="Times New Roman" w:cs="Times New Roman"/>
          <w:lang w:eastAsia="ru-RU"/>
        </w:rPr>
        <w:t>102,5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Pr="00005142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360"/>
      </w:tblGrid>
      <w:tr w:rsidR="00BB09C2" w:rsidRPr="00005142" w:rsidTr="00005142">
        <w:trPr>
          <w:trHeight w:val="20"/>
          <w:jc w:val="right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046" w:type="dxa"/>
            <w:gridSpan w:val="2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 % к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Merge/>
            <w:shd w:val="clear" w:color="auto" w:fill="auto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соответствующему периоду предыдущего года</w:t>
            </w:r>
          </w:p>
        </w:tc>
        <w:tc>
          <w:tcPr>
            <w:tcW w:w="3360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предыдущему периоду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b/>
                <w:sz w:val="22"/>
              </w:rPr>
              <w:t>2018г.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105,0</w:t>
            </w: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39,8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107,3</w:t>
            </w: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103,2</w:t>
            </w:r>
          </w:p>
        </w:tc>
      </w:tr>
      <w:tr w:rsidR="0000514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3686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126,4</w:t>
            </w:r>
          </w:p>
        </w:tc>
        <w:tc>
          <w:tcPr>
            <w:tcW w:w="3360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144,4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1579"/>
        <w:gridCol w:w="1185"/>
        <w:gridCol w:w="1056"/>
      </w:tblGrid>
      <w:tr w:rsidR="00BB09C2" w:rsidRPr="00005142" w:rsidTr="00005142">
        <w:trPr>
          <w:tblHeader/>
          <w:jc w:val="center"/>
        </w:trPr>
        <w:tc>
          <w:tcPr>
            <w:tcW w:w="2876" w:type="pct"/>
            <w:vMerge w:val="restart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878" w:type="pct"/>
            <w:vMerge w:val="restart"/>
            <w:vAlign w:val="center"/>
          </w:tcPr>
          <w:p w:rsidR="00BB09C2" w:rsidRPr="00005142" w:rsidRDefault="00BB09C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Январь-</w:t>
            </w:r>
            <w:r w:rsidR="00005142" w:rsidRPr="00005142"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  <w:p w:rsidR="00BB09C2" w:rsidRPr="00005142" w:rsidRDefault="00BB09C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январю-</w:t>
            </w:r>
            <w:r w:rsidR="00005142" w:rsidRPr="00005142">
              <w:rPr>
                <w:rStyle w:val="a8"/>
                <w:rFonts w:ascii="Times New Roman" w:hAnsi="Times New Roman" w:cs="Times New Roman"/>
                <w:sz w:val="22"/>
              </w:rPr>
              <w:t>марту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2017г.</w:t>
            </w:r>
          </w:p>
        </w:tc>
        <w:tc>
          <w:tcPr>
            <w:tcW w:w="1246" w:type="pct"/>
            <w:gridSpan w:val="2"/>
            <w:vAlign w:val="center"/>
          </w:tcPr>
          <w:p w:rsidR="00BB09C2" w:rsidRPr="00005142" w:rsidRDefault="0000514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br/>
            </w:r>
            <w:proofErr w:type="gramStart"/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</w:tc>
      </w:tr>
      <w:tr w:rsidR="00BB09C2" w:rsidRPr="00005142" w:rsidTr="00005142">
        <w:trPr>
          <w:tblHeader/>
          <w:jc w:val="center"/>
        </w:trPr>
        <w:tc>
          <w:tcPr>
            <w:tcW w:w="2876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878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pct"/>
            <w:vAlign w:val="center"/>
          </w:tcPr>
          <w:p w:rsidR="00BB09C2" w:rsidRPr="00005142" w:rsidRDefault="0000514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март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2017г.</w:t>
            </w:r>
          </w:p>
        </w:tc>
        <w:tc>
          <w:tcPr>
            <w:tcW w:w="587" w:type="pct"/>
            <w:vAlign w:val="center"/>
          </w:tcPr>
          <w:p w:rsidR="00BB09C2" w:rsidRPr="00005142" w:rsidRDefault="0000514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февраль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2018г.</w:t>
            </w:r>
          </w:p>
        </w:tc>
      </w:tr>
      <w:tr w:rsidR="00005142" w:rsidRPr="00005142" w:rsidTr="00005142">
        <w:trPr>
          <w:jc w:val="center"/>
        </w:trPr>
        <w:tc>
          <w:tcPr>
            <w:tcW w:w="2876" w:type="pct"/>
          </w:tcPr>
          <w:p w:rsidR="00005142" w:rsidRPr="00005142" w:rsidRDefault="00005142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878" w:type="pct"/>
          </w:tcPr>
          <w:p w:rsidR="00005142" w:rsidRPr="00005142" w:rsidRDefault="00005142" w:rsidP="00005142">
            <w:pPr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 xml:space="preserve">89,5 </w:t>
            </w:r>
          </w:p>
        </w:tc>
        <w:tc>
          <w:tcPr>
            <w:tcW w:w="659" w:type="pct"/>
          </w:tcPr>
          <w:p w:rsidR="00005142" w:rsidRPr="00005142" w:rsidRDefault="00005142" w:rsidP="00005142">
            <w:pPr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 xml:space="preserve">87,5 </w:t>
            </w:r>
          </w:p>
        </w:tc>
        <w:tc>
          <w:tcPr>
            <w:tcW w:w="587" w:type="pct"/>
          </w:tcPr>
          <w:p w:rsidR="00005142" w:rsidRPr="00005142" w:rsidRDefault="00005142">
            <w:pPr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113,0</w:t>
            </w:r>
          </w:p>
        </w:tc>
      </w:tr>
      <w:tr w:rsidR="00BB09C2" w:rsidRPr="00005142" w:rsidTr="00005142">
        <w:trPr>
          <w:jc w:val="center"/>
        </w:trPr>
        <w:tc>
          <w:tcPr>
            <w:tcW w:w="2876" w:type="pct"/>
          </w:tcPr>
          <w:p w:rsidR="00BB09C2" w:rsidRPr="00005142" w:rsidRDefault="00BB09C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878" w:type="pct"/>
            <w:vAlign w:val="bottom"/>
          </w:tcPr>
          <w:p w:rsidR="00BB09C2" w:rsidRPr="00005142" w:rsidRDefault="00005142" w:rsidP="00005142">
            <w:pPr>
              <w:spacing w:after="0" w:line="240" w:lineRule="auto"/>
              <w:ind w:right="340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 xml:space="preserve">147,8 </w:t>
            </w:r>
          </w:p>
        </w:tc>
        <w:tc>
          <w:tcPr>
            <w:tcW w:w="659" w:type="pct"/>
            <w:vAlign w:val="bottom"/>
          </w:tcPr>
          <w:p w:rsidR="00BB09C2" w:rsidRPr="00005142" w:rsidRDefault="00005142" w:rsidP="00005142">
            <w:pPr>
              <w:spacing w:after="0" w:line="240" w:lineRule="auto"/>
              <w:ind w:left="-227" w:right="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в 1,7р.</w:t>
            </w:r>
          </w:p>
        </w:tc>
        <w:tc>
          <w:tcPr>
            <w:tcW w:w="587" w:type="pct"/>
            <w:vAlign w:val="bottom"/>
          </w:tcPr>
          <w:p w:rsidR="00BB09C2" w:rsidRPr="00005142" w:rsidRDefault="00005142" w:rsidP="00005142">
            <w:pPr>
              <w:spacing w:after="0" w:line="240" w:lineRule="auto"/>
              <w:ind w:left="-227" w:right="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в 1,8р.</w:t>
            </w:r>
          </w:p>
        </w:tc>
      </w:tr>
      <w:tr w:rsidR="00935179" w:rsidRPr="00005142" w:rsidTr="00005142">
        <w:trPr>
          <w:jc w:val="center"/>
        </w:trPr>
        <w:tc>
          <w:tcPr>
            <w:tcW w:w="2876" w:type="pct"/>
          </w:tcPr>
          <w:p w:rsidR="00935179" w:rsidRPr="00005142" w:rsidRDefault="00935179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8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right="340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659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left="-227" w:right="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587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left="-227" w:right="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100,4</w:t>
            </w:r>
          </w:p>
        </w:tc>
      </w:tr>
      <w:tr w:rsidR="00935179" w:rsidRPr="00005142" w:rsidTr="00005142">
        <w:trPr>
          <w:jc w:val="center"/>
        </w:trPr>
        <w:tc>
          <w:tcPr>
            <w:tcW w:w="2876" w:type="pct"/>
          </w:tcPr>
          <w:p w:rsidR="00935179" w:rsidRPr="00005142" w:rsidRDefault="00935179" w:rsidP="00005142">
            <w:pPr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78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right="340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659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left="-227" w:right="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587" w:type="pct"/>
            <w:vAlign w:val="bottom"/>
          </w:tcPr>
          <w:p w:rsidR="00935179" w:rsidRPr="00005142" w:rsidRDefault="00005142" w:rsidP="00005142">
            <w:pPr>
              <w:spacing w:after="0" w:line="240" w:lineRule="auto"/>
              <w:ind w:left="-227" w:right="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Fonts w:ascii="Times New Roman" w:hAnsi="Times New Roman" w:cs="Times New Roman"/>
              </w:rPr>
              <w:t>98,0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6463"/>
        <w:gridCol w:w="1424"/>
        <w:gridCol w:w="1684"/>
      </w:tblGrid>
      <w:tr w:rsidR="00935179" w:rsidRPr="00005142" w:rsidTr="009B7C63">
        <w:trPr>
          <w:tblHeader/>
          <w:jc w:val="center"/>
        </w:trPr>
        <w:tc>
          <w:tcPr>
            <w:tcW w:w="337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9" w:rsidRPr="00005142" w:rsidRDefault="009B7C63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b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9" w:rsidRPr="00005142" w:rsidRDefault="009B7C63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Январь-</w:t>
            </w:r>
            <w:r w:rsidR="009B7C63">
              <w:rPr>
                <w:rFonts w:ascii="Times New Roman" w:hAnsi="Times New Roman" w:cs="Times New Roman"/>
              </w:rPr>
              <w:t>март</w:t>
            </w:r>
          </w:p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</w:tr>
      <w:tr w:rsidR="009B7C63" w:rsidRPr="00005142" w:rsidTr="009B7C63">
        <w:trPr>
          <w:trHeight w:val="60"/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3" w:rsidRPr="00005142" w:rsidRDefault="009B7C63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26823,1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80358,7</w:t>
            </w:r>
          </w:p>
        </w:tc>
      </w:tr>
      <w:tr w:rsidR="009B7C63" w:rsidRPr="00005142" w:rsidTr="009B7C63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3" w:rsidRPr="00005142" w:rsidRDefault="009B7C63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14794,0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40767,9</w:t>
            </w:r>
          </w:p>
        </w:tc>
      </w:tr>
      <w:tr w:rsidR="009B7C63" w:rsidRPr="00005142" w:rsidTr="009B7C63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3" w:rsidRPr="00005142" w:rsidRDefault="009B7C63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3118,2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10304,4</w:t>
            </w:r>
          </w:p>
        </w:tc>
      </w:tr>
      <w:tr w:rsidR="009B7C63" w:rsidRPr="00005142" w:rsidTr="009B7C63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3" w:rsidRPr="00005142" w:rsidRDefault="009B7C63" w:rsidP="009B7C63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63" w:rsidRPr="009B7C63" w:rsidRDefault="009B7C63" w:rsidP="009B7C63">
            <w:pPr>
              <w:jc w:val="center"/>
              <w:rPr>
                <w:rFonts w:ascii="Times New Roman" w:hAnsi="Times New Roman" w:cs="Times New Roman"/>
              </w:rPr>
            </w:pPr>
            <w:r w:rsidRPr="009B7C63">
              <w:rPr>
                <w:rFonts w:ascii="Times New Roman" w:hAnsi="Times New Roman" w:cs="Times New Roman"/>
              </w:rPr>
              <w:t>1504,5</w:t>
            </w:r>
          </w:p>
        </w:tc>
      </w:tr>
    </w:tbl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838B0" w:rsidRPr="00005142" w:rsidRDefault="0022587C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p w:rsidR="00713B70" w:rsidRPr="00005142" w:rsidRDefault="00713B70" w:rsidP="00005142">
      <w:pPr>
        <w:pStyle w:val="a9"/>
        <w:keepNext/>
        <w:spacing w:before="0"/>
        <w:rPr>
          <w:rFonts w:ascii="Times New Roman" w:hAnsi="Times New Roman"/>
          <w:color w:val="000000"/>
          <w:sz w:val="22"/>
          <w:szCs w:val="22"/>
          <w:u w:val="single"/>
          <w:lang w:val="x-none"/>
        </w:rPr>
      </w:pPr>
    </w:p>
    <w:tbl>
      <w:tblPr>
        <w:tblStyle w:val="af6"/>
        <w:tblW w:w="5058" w:type="pct"/>
        <w:jc w:val="center"/>
        <w:tblLook w:val="04A0" w:firstRow="1" w:lastRow="0" w:firstColumn="1" w:lastColumn="0" w:noHBand="0" w:noVBand="1"/>
      </w:tblPr>
      <w:tblGrid>
        <w:gridCol w:w="3512"/>
        <w:gridCol w:w="2117"/>
        <w:gridCol w:w="1987"/>
        <w:gridCol w:w="2066"/>
      </w:tblGrid>
      <w:tr w:rsidR="0022587C" w:rsidRPr="0022587C" w:rsidTr="0022587C">
        <w:trPr>
          <w:jc w:val="center"/>
        </w:trPr>
        <w:tc>
          <w:tcPr>
            <w:tcW w:w="1813" w:type="pct"/>
          </w:tcPr>
          <w:p w:rsidR="0022587C" w:rsidRPr="0022587C" w:rsidRDefault="0022587C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093" w:type="pct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 xml:space="preserve">Январь-март 2018г., тыс. </w:t>
            </w:r>
            <w:proofErr w:type="spellStart"/>
            <w:r w:rsidRPr="0022587C">
              <w:rPr>
                <w:rFonts w:ascii="Times New Roman" w:hAnsi="Times New Roman" w:cs="Times New Roman"/>
              </w:rPr>
              <w:t>плотн</w:t>
            </w:r>
            <w:proofErr w:type="spellEnd"/>
            <w:r w:rsidRPr="0022587C">
              <w:rPr>
                <w:rFonts w:ascii="Times New Roman" w:hAnsi="Times New Roman" w:cs="Times New Roman"/>
              </w:rPr>
              <w:t>. м</w:t>
            </w:r>
            <w:r w:rsidRPr="0022587C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  <w:tc>
          <w:tcPr>
            <w:tcW w:w="1026" w:type="pct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proofErr w:type="gramStart"/>
            <w:r w:rsidRPr="0022587C">
              <w:rPr>
                <w:rFonts w:ascii="Times New Roman" w:hAnsi="Times New Roman" w:cs="Times New Roman"/>
              </w:rPr>
              <w:t>В</w:t>
            </w:r>
            <w:proofErr w:type="gramEnd"/>
            <w:r w:rsidRPr="0022587C">
              <w:rPr>
                <w:rFonts w:ascii="Times New Roman" w:hAnsi="Times New Roman" w:cs="Times New Roman"/>
              </w:rPr>
              <w:t xml:space="preserve"> % к январю-марту 2017г.</w:t>
            </w:r>
          </w:p>
        </w:tc>
        <w:tc>
          <w:tcPr>
            <w:tcW w:w="1067" w:type="pct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 xml:space="preserve">Март 2018г. </w:t>
            </w:r>
            <w:proofErr w:type="gramStart"/>
            <w:r w:rsidRPr="0022587C">
              <w:rPr>
                <w:rFonts w:ascii="Times New Roman" w:hAnsi="Times New Roman" w:cs="Times New Roman"/>
              </w:rPr>
              <w:t>в</w:t>
            </w:r>
            <w:proofErr w:type="gramEnd"/>
            <w:r w:rsidRPr="0022587C">
              <w:rPr>
                <w:rFonts w:ascii="Times New Roman" w:hAnsi="Times New Roman" w:cs="Times New Roman"/>
              </w:rPr>
              <w:t xml:space="preserve"> % к марту 2017г.</w:t>
            </w:r>
          </w:p>
        </w:tc>
      </w:tr>
      <w:tr w:rsidR="0022587C" w:rsidRPr="0022587C" w:rsidTr="0022587C">
        <w:trPr>
          <w:jc w:val="center"/>
        </w:trPr>
        <w:tc>
          <w:tcPr>
            <w:tcW w:w="1813" w:type="pct"/>
          </w:tcPr>
          <w:p w:rsidR="0022587C" w:rsidRPr="0022587C" w:rsidRDefault="0022587C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093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3709,4</w:t>
            </w:r>
          </w:p>
        </w:tc>
        <w:tc>
          <w:tcPr>
            <w:tcW w:w="1026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67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111,8</w:t>
            </w:r>
          </w:p>
        </w:tc>
      </w:tr>
      <w:tr w:rsidR="0022587C" w:rsidRPr="0022587C" w:rsidTr="0022587C">
        <w:trPr>
          <w:jc w:val="center"/>
        </w:trPr>
        <w:tc>
          <w:tcPr>
            <w:tcW w:w="1813" w:type="pct"/>
          </w:tcPr>
          <w:p w:rsidR="0022587C" w:rsidRPr="0022587C" w:rsidRDefault="0022587C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хвойных пород</w:t>
            </w:r>
          </w:p>
        </w:tc>
        <w:tc>
          <w:tcPr>
            <w:tcW w:w="1093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2622,2</w:t>
            </w:r>
          </w:p>
        </w:tc>
        <w:tc>
          <w:tcPr>
            <w:tcW w:w="1026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067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115,4</w:t>
            </w:r>
          </w:p>
        </w:tc>
      </w:tr>
      <w:tr w:rsidR="0022587C" w:rsidRPr="0022587C" w:rsidTr="0022587C">
        <w:trPr>
          <w:jc w:val="center"/>
        </w:trPr>
        <w:tc>
          <w:tcPr>
            <w:tcW w:w="1813" w:type="pct"/>
          </w:tcPr>
          <w:p w:rsidR="0022587C" w:rsidRPr="0022587C" w:rsidRDefault="0022587C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093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836,4</w:t>
            </w:r>
          </w:p>
        </w:tc>
        <w:tc>
          <w:tcPr>
            <w:tcW w:w="1026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67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100,7</w:t>
            </w:r>
          </w:p>
        </w:tc>
      </w:tr>
      <w:tr w:rsidR="0022587C" w:rsidRPr="0022587C" w:rsidTr="0022587C">
        <w:trPr>
          <w:jc w:val="center"/>
        </w:trPr>
        <w:tc>
          <w:tcPr>
            <w:tcW w:w="1813" w:type="pct"/>
          </w:tcPr>
          <w:p w:rsidR="0022587C" w:rsidRPr="0022587C" w:rsidRDefault="0022587C" w:rsidP="00005142">
            <w:pPr>
              <w:jc w:val="both"/>
              <w:rPr>
                <w:rFonts w:ascii="Times New Roman" w:hAnsi="Times New Roman" w:cs="Times New Roman"/>
              </w:rPr>
            </w:pPr>
            <w:r w:rsidRPr="0022587C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1093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026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067" w:type="pct"/>
            <w:vAlign w:val="center"/>
          </w:tcPr>
          <w:p w:rsidR="0022587C" w:rsidRPr="0022587C" w:rsidRDefault="0022587C" w:rsidP="0022587C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114,2</w:t>
            </w:r>
          </w:p>
        </w:tc>
      </w:tr>
    </w:tbl>
    <w:p w:rsidR="00713B70" w:rsidRPr="00005142" w:rsidRDefault="00713B70" w:rsidP="00005142">
      <w:pPr>
        <w:spacing w:after="0" w:line="240" w:lineRule="auto"/>
        <w:jc w:val="both"/>
        <w:rPr>
          <w:rFonts w:ascii="Times New Roman" w:hAnsi="Times New Roman" w:cs="Times New Roman"/>
          <w:b/>
          <w:lang w:val="x-none" w:eastAsia="ru-RU"/>
        </w:rPr>
      </w:pPr>
    </w:p>
    <w:p w:rsidR="00F73C15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p w:rsidR="00DF7F7D" w:rsidRPr="00005142" w:rsidRDefault="00DF7F7D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F7F7D" w:rsidRPr="00005142" w:rsidRDefault="00DF7F7D" w:rsidP="00005142">
      <w:pPr>
        <w:pStyle w:val="a7"/>
        <w:spacing w:before="0" w:after="0"/>
        <w:ind w:left="37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Динамика объема работ, выполненных по виду экономической деятельности "Строительство" за январь-</w:t>
      </w:r>
      <w:r w:rsidR="0022587C">
        <w:rPr>
          <w:rFonts w:ascii="Times New Roman" w:hAnsi="Times New Roman"/>
          <w:sz w:val="22"/>
          <w:szCs w:val="22"/>
          <w:u w:val="single"/>
        </w:rPr>
        <w:t>март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971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335"/>
        <w:gridCol w:w="2611"/>
        <w:gridCol w:w="2720"/>
      </w:tblGrid>
      <w:tr w:rsidR="00621614" w:rsidRPr="00005142" w:rsidTr="00621614">
        <w:trPr>
          <w:cantSplit/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Млн. рублей</w:t>
            </w:r>
          </w:p>
        </w:tc>
        <w:tc>
          <w:tcPr>
            <w:tcW w:w="5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В % к</w:t>
            </w:r>
          </w:p>
        </w:tc>
      </w:tr>
      <w:tr w:rsidR="00621614" w:rsidRPr="00005142" w:rsidTr="00763903">
        <w:trPr>
          <w:cantSplit/>
          <w:trHeight w:val="292"/>
          <w:jc w:val="center"/>
        </w:trPr>
        <w:tc>
          <w:tcPr>
            <w:tcW w:w="2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614" w:rsidRPr="00005142" w:rsidRDefault="00621614" w:rsidP="00005142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B559E">
            <w:pPr>
              <w:pStyle w:val="ac"/>
              <w:jc w:val="both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br/>
              <w:t>предыдущего года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предыдущему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периоду</w:t>
            </w:r>
          </w:p>
        </w:tc>
      </w:tr>
      <w:tr w:rsidR="0022587C" w:rsidRPr="00005142" w:rsidTr="005D6A07">
        <w:trPr>
          <w:cantSplit/>
          <w:trHeight w:val="269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7C" w:rsidRPr="00005142" w:rsidRDefault="0022587C" w:rsidP="00005142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00514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1874,9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left="-567"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25,7</w:t>
            </w:r>
          </w:p>
        </w:tc>
      </w:tr>
      <w:tr w:rsidR="0022587C" w:rsidRPr="00005142" w:rsidTr="005D6A07">
        <w:trPr>
          <w:cantSplit/>
          <w:trHeight w:val="277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7C" w:rsidRPr="00005142" w:rsidRDefault="0022587C" w:rsidP="00005142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00514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1538,6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left="-567"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84,4</w:t>
            </w:r>
          </w:p>
        </w:tc>
      </w:tr>
      <w:tr w:rsidR="00621614" w:rsidRPr="00005142" w:rsidTr="008C076E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621614" w:rsidRDefault="00621614" w:rsidP="00621614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М</w:t>
            </w:r>
            <w:r w:rsidRPr="00621614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614" w:rsidRPr="00621614" w:rsidRDefault="00621614" w:rsidP="00621614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3045,0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614" w:rsidRPr="00621614" w:rsidRDefault="00621614" w:rsidP="00621614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</w:pPr>
            <w:r w:rsidRPr="00621614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614" w:rsidRPr="00621614" w:rsidRDefault="00621614" w:rsidP="00621614">
            <w:pPr>
              <w:pStyle w:val="ac"/>
              <w:ind w:left="-567" w:right="1063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621614">
              <w:rPr>
                <w:rFonts w:ascii="Times New Roman" w:hAnsi="Times New Roman"/>
              </w:rPr>
              <w:t>в 2,0р.</w:t>
            </w:r>
          </w:p>
        </w:tc>
      </w:tr>
      <w:tr w:rsidR="0022587C" w:rsidRPr="00005142" w:rsidTr="005D6A07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7C" w:rsidRPr="00005142" w:rsidRDefault="00621614" w:rsidP="00005142">
            <w:pPr>
              <w:pStyle w:val="ac"/>
              <w:ind w:left="85"/>
              <w:jc w:val="both"/>
              <w:rPr>
                <w:rStyle w:val="ae"/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Style w:val="ae"/>
                <w:rFonts w:ascii="Times New Roman" w:hAnsi="Times New Roman"/>
                <w:i w:val="0"/>
                <w:sz w:val="22"/>
                <w:szCs w:val="22"/>
                <w:lang w:eastAsia="ru-RU"/>
              </w:rPr>
              <w:t>1 квартал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</w:pPr>
            <w:r w:rsidRPr="00621614">
              <w:rPr>
                <w:rFonts w:ascii="Times New Roman" w:hAnsi="Times New Roman" w:cs="Times New Roman"/>
              </w:rPr>
              <w:t>6458,5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7C" w:rsidRPr="00621614" w:rsidRDefault="00621614" w:rsidP="00621614">
            <w:pPr>
              <w:pStyle w:val="ac"/>
              <w:ind w:left="-567" w:right="1063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621614">
              <w:rPr>
                <w:rFonts w:ascii="Times New Roman" w:hAnsi="Times New Roman"/>
              </w:rPr>
              <w:t>22,8</w:t>
            </w: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B6FF3" w:rsidRPr="00005142" w:rsidRDefault="009B6FF3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DF7F7D" w:rsidRPr="00005142" w:rsidRDefault="00DF7F7D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Динамика ввода в действие жилых домов за январь-</w:t>
      </w:r>
      <w:r w:rsidR="00621614">
        <w:rPr>
          <w:rFonts w:ascii="Times New Roman" w:hAnsi="Times New Roman"/>
          <w:sz w:val="22"/>
          <w:szCs w:val="22"/>
          <w:u w:val="single"/>
        </w:rPr>
        <w:t>март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10023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60"/>
        <w:gridCol w:w="1445"/>
        <w:gridCol w:w="2811"/>
        <w:gridCol w:w="2807"/>
      </w:tblGrid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621614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5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 % к</w:t>
            </w:r>
          </w:p>
        </w:tc>
      </w:tr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предыдущему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периоду</w:t>
            </w:r>
          </w:p>
        </w:tc>
      </w:tr>
      <w:tr w:rsidR="009B6FF3" w:rsidRPr="00005142" w:rsidTr="00052394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F3" w:rsidRPr="00005142" w:rsidRDefault="009B6FF3" w:rsidP="0000514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нварь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18,9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113,6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28,6</w:t>
            </w:r>
          </w:p>
        </w:tc>
      </w:tr>
      <w:tr w:rsidR="009B6FF3" w:rsidRPr="00005142" w:rsidTr="00052394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F3" w:rsidRPr="00005142" w:rsidRDefault="009B6FF3" w:rsidP="0000514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lastRenderedPageBreak/>
              <w:t>Ф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евраль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33,5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3,6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1,8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</w:tr>
      <w:tr w:rsidR="00621614" w:rsidRPr="00005142" w:rsidTr="00052394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14" w:rsidRPr="00621614" w:rsidRDefault="00621614" w:rsidP="0000514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jc w:val="both"/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</w:pPr>
            <w:r w:rsidRPr="00621614"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4" w:rsidRPr="00005142" w:rsidRDefault="00621614" w:rsidP="00621614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38,9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4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2,0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4" w:rsidRPr="00005142" w:rsidRDefault="00621614" w:rsidP="001A7A6E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116,4</w:t>
            </w:r>
          </w:p>
        </w:tc>
      </w:tr>
      <w:tr w:rsidR="009B6FF3" w:rsidRPr="00005142" w:rsidTr="00052394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F3" w:rsidRPr="00005142" w:rsidRDefault="00621614" w:rsidP="0000514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2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2"/>
              </w:rPr>
              <w:t>1 квартал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91,3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2,0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3" w:rsidRPr="00005142" w:rsidRDefault="00621614" w:rsidP="00621614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54,5</w:t>
            </w: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158D7" w:rsidRPr="00005142" w:rsidRDefault="007158D7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Динамика ввода в действие индивидуальных жилых домов</w:t>
      </w:r>
      <w:r w:rsidRPr="00005142">
        <w:rPr>
          <w:rFonts w:ascii="Times New Roman" w:hAnsi="Times New Roman" w:cs="Times New Roman"/>
          <w:u w:val="single"/>
        </w:rPr>
        <w:t xml:space="preserve"> за январь-</w:t>
      </w:r>
      <w:r w:rsidR="00621614">
        <w:rPr>
          <w:rFonts w:ascii="Times New Roman" w:hAnsi="Times New Roman" w:cs="Times New Roman"/>
          <w:u w:val="single"/>
        </w:rPr>
        <w:t>март</w:t>
      </w:r>
      <w:r w:rsidRPr="00005142">
        <w:rPr>
          <w:rFonts w:ascii="Times New Roman" w:hAnsi="Times New Roman" w:cs="Times New Roman"/>
          <w:u w:val="single"/>
        </w:rPr>
        <w:t xml:space="preserve"> 2018 года:</w:t>
      </w:r>
    </w:p>
    <w:tbl>
      <w:tblPr>
        <w:tblW w:w="100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6"/>
        <w:gridCol w:w="2777"/>
        <w:gridCol w:w="2128"/>
        <w:gridCol w:w="2670"/>
      </w:tblGrid>
      <w:tr w:rsidR="007158D7" w:rsidRPr="00005142" w:rsidTr="007158D7">
        <w:trPr>
          <w:cantSplit/>
          <w:trHeight w:val="204"/>
          <w:tblHeader/>
          <w:jc w:val="center"/>
        </w:trPr>
        <w:tc>
          <w:tcPr>
            <w:tcW w:w="52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D7" w:rsidRPr="00005142" w:rsidRDefault="007158D7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Fonts w:ascii="Times New Roman" w:eastAsia="Calibri" w:hAnsi="Times New Roman" w:cs="Times New Roman"/>
              </w:rPr>
              <w:t>Ввод в действие индивидуальных жилых домов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58D7" w:rsidRPr="00005142" w:rsidRDefault="007158D7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Fonts w:ascii="Times New Roman" w:eastAsia="Calibri" w:hAnsi="Times New Roman" w:cs="Times New Roman"/>
              </w:rPr>
              <w:t>В том числе в сельской местности</w:t>
            </w:r>
          </w:p>
        </w:tc>
      </w:tr>
      <w:tr w:rsidR="007158D7" w:rsidRPr="00005142" w:rsidTr="007158D7">
        <w:trPr>
          <w:cantSplit/>
          <w:trHeight w:val="515"/>
          <w:tblHeader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7" w:rsidRPr="00005142" w:rsidRDefault="007158D7" w:rsidP="0042497F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7" w:rsidRPr="00005142" w:rsidRDefault="007158D7" w:rsidP="0042497F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% к соответствующему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 xml:space="preserve">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7" w:rsidRPr="00005142" w:rsidRDefault="007158D7" w:rsidP="0042497F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8D7" w:rsidRPr="00005142" w:rsidRDefault="007158D7" w:rsidP="0042497F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% к 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</w:tr>
      <w:tr w:rsidR="007158D7" w:rsidRPr="00005142" w:rsidTr="007158D7">
        <w:trPr>
          <w:cantSplit/>
          <w:trHeight w:val="385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D7" w:rsidRPr="00005142" w:rsidRDefault="0042497F" w:rsidP="0042497F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51,2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D7" w:rsidRPr="00005142" w:rsidRDefault="0042497F" w:rsidP="0042497F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2,6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D7" w:rsidRPr="00005142" w:rsidRDefault="0042497F" w:rsidP="0042497F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26,9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D7" w:rsidRPr="00005142" w:rsidRDefault="0042497F" w:rsidP="0042497F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2,5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58D7" w:rsidRPr="00005142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Прогнозные оценки изменения основных показателей деятельности строительных организаций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1277"/>
        <w:gridCol w:w="1214"/>
        <w:gridCol w:w="1362"/>
        <w:gridCol w:w="1277"/>
        <w:gridCol w:w="1213"/>
        <w:gridCol w:w="1362"/>
      </w:tblGrid>
      <w:tr w:rsidR="009B6FF3" w:rsidRPr="00005142" w:rsidTr="009B6FF3">
        <w:trPr>
          <w:jc w:val="center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 квартал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IV кварталом 2017г.</w:t>
            </w:r>
          </w:p>
        </w:tc>
        <w:tc>
          <w:tcPr>
            <w:tcW w:w="364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II квартал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 кварталом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(прогноз)</w:t>
            </w:r>
          </w:p>
        </w:tc>
      </w:tr>
      <w:tr w:rsidR="009B6FF3" w:rsidRPr="00005142" w:rsidTr="009B6FF3">
        <w:trPr>
          <w:jc w:val="center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</w:tr>
      <w:tr w:rsidR="009B6FF3" w:rsidRPr="00005142" w:rsidTr="0005239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Объем работ, выполняемых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по виду экономической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деятельности </w:t>
            </w:r>
            <w:r w:rsidRPr="00005142">
              <w:rPr>
                <w:rFonts w:ascii="Times New Roman" w:hAnsi="Times New Roman"/>
                <w:sz w:val="22"/>
                <w:szCs w:val="22"/>
              </w:rPr>
              <w:t>"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Строительство</w:t>
            </w:r>
            <w:r w:rsidRPr="0000514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14</w:t>
            </w:r>
          </w:p>
        </w:tc>
      </w:tr>
      <w:tr w:rsidR="009B6FF3" w:rsidRPr="00005142" w:rsidTr="0005239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Численность </w:t>
            </w:r>
            <w:proofErr w:type="gramStart"/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13</w:t>
            </w:r>
          </w:p>
        </w:tc>
      </w:tr>
      <w:tr w:rsidR="009B6FF3" w:rsidRPr="00005142" w:rsidTr="0005239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Обеспеченность собственными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финансовыми ресурсами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15</w:t>
            </w:r>
          </w:p>
        </w:tc>
      </w:tr>
      <w:tr w:rsidR="009B6FF3" w:rsidRPr="00005142" w:rsidTr="0005239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кредиторская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11</w:t>
            </w:r>
          </w:p>
        </w:tc>
      </w:tr>
      <w:tr w:rsidR="009B6FF3" w:rsidRPr="00005142" w:rsidTr="0005239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дебиторская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12</w:t>
            </w:r>
          </w:p>
        </w:tc>
      </w:tr>
      <w:tr w:rsidR="009B6FF3" w:rsidRPr="00005142" w:rsidTr="00052394">
        <w:trPr>
          <w:trHeight w:val="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FF3" w:rsidRPr="00005142" w:rsidRDefault="009B6FF3" w:rsidP="00005142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Цены на строительно-монтажные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работы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F3" w:rsidRPr="00005142" w:rsidRDefault="009B6FF3" w:rsidP="0042497F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2"/>
          <w:u w:val="single"/>
        </w:rPr>
      </w:pPr>
    </w:p>
    <w:p w:rsidR="00C905EB" w:rsidRPr="00005142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Основные факторы, ограничивающие строительную деятельность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3336"/>
      </w:tblGrid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I квартал 2018г.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заказов на работы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38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Неплатежеспособность заказчиков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31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Высокий уровень налогов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46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Высокий процент коммерческого кредита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27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квалифицированных рабочих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10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Высокая стоимость материалов, конструкций и изделий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25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Нехватка и изношенность строительных машин и механизмов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Конкуренция со стороны других строительных организаций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35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Погодные условия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8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материалов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финансирования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36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</w:tr>
      <w:tr w:rsidR="009B6FF3" w:rsidRPr="00005142" w:rsidTr="009B6FF3">
        <w:trPr>
          <w:jc w:val="center"/>
        </w:trPr>
        <w:tc>
          <w:tcPr>
            <w:tcW w:w="6521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Ограничений нет</w:t>
            </w:r>
          </w:p>
        </w:tc>
        <w:tc>
          <w:tcPr>
            <w:tcW w:w="3516" w:type="dxa"/>
            <w:shd w:val="clear" w:color="auto" w:fill="auto"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</w:tbl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lastRenderedPageBreak/>
        <w:t>Транспорт:</w:t>
      </w:r>
    </w:p>
    <w:p w:rsidR="00BC5DA4" w:rsidRPr="00005142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Деятельность автомобильного транспорта: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606"/>
        <w:gridCol w:w="1607"/>
        <w:gridCol w:w="1607"/>
        <w:gridCol w:w="1133"/>
        <w:gridCol w:w="1276"/>
      </w:tblGrid>
      <w:tr w:rsidR="00BC5DA4" w:rsidRPr="00005142" w:rsidTr="00BC5DA4">
        <w:trPr>
          <w:cantSplit/>
          <w:trHeight w:val="105"/>
          <w:tblHeader/>
          <w:jc w:val="center"/>
        </w:trPr>
        <w:tc>
          <w:tcPr>
            <w:tcW w:w="2821" w:type="dxa"/>
            <w:vMerge w:val="restart"/>
            <w:vAlign w:val="center"/>
          </w:tcPr>
          <w:p w:rsidR="00BC5DA4" w:rsidRPr="00005142" w:rsidRDefault="00BC5DA4" w:rsidP="00005142">
            <w:pPr>
              <w:tabs>
                <w:tab w:val="left" w:pos="154"/>
              </w:tabs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Январь-</w:t>
            </w:r>
            <w:r w:rsidR="0042497F">
              <w:rPr>
                <w:rStyle w:val="a8"/>
                <w:rFonts w:ascii="Times New Roman" w:hAnsi="Times New Roman"/>
                <w:sz w:val="22"/>
                <w:szCs w:val="22"/>
              </w:rPr>
              <w:t>март</w:t>
            </w:r>
          </w:p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607" w:type="dxa"/>
            <w:vMerge w:val="restart"/>
            <w:vAlign w:val="center"/>
          </w:tcPr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январю-</w:t>
            </w:r>
            <w:r w:rsidR="0042497F">
              <w:rPr>
                <w:rStyle w:val="a8"/>
                <w:rFonts w:ascii="Times New Roman" w:hAnsi="Times New Roman"/>
                <w:sz w:val="22"/>
                <w:szCs w:val="22"/>
              </w:rPr>
              <w:t>марту</w:t>
            </w:r>
          </w:p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607" w:type="dxa"/>
            <w:vMerge w:val="restart"/>
            <w:vAlign w:val="center"/>
          </w:tcPr>
          <w:p w:rsidR="00BC5DA4" w:rsidRPr="00005142" w:rsidRDefault="0042497F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март</w:t>
            </w:r>
          </w:p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2409" w:type="dxa"/>
            <w:gridSpan w:val="2"/>
            <w:vAlign w:val="center"/>
          </w:tcPr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</w:tc>
      </w:tr>
      <w:tr w:rsidR="00BC5DA4" w:rsidRPr="00005142" w:rsidTr="00BC5DA4">
        <w:trPr>
          <w:cantSplit/>
          <w:trHeight w:val="97"/>
          <w:tblHeader/>
          <w:jc w:val="center"/>
        </w:trPr>
        <w:tc>
          <w:tcPr>
            <w:tcW w:w="2821" w:type="dxa"/>
            <w:vMerge/>
            <w:vAlign w:val="center"/>
          </w:tcPr>
          <w:p w:rsidR="00BC5DA4" w:rsidRPr="00005142" w:rsidRDefault="00BC5DA4" w:rsidP="0000514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vAlign w:val="center"/>
          </w:tcPr>
          <w:p w:rsidR="00BC5DA4" w:rsidRPr="00005142" w:rsidRDefault="00BC5DA4" w:rsidP="0042497F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vMerge/>
          </w:tcPr>
          <w:p w:rsidR="00BC5DA4" w:rsidRPr="00005142" w:rsidRDefault="00BC5DA4" w:rsidP="0042497F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BC5DA4" w:rsidRPr="00005142" w:rsidRDefault="00BC5DA4" w:rsidP="0042497F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BC5DA4" w:rsidRPr="00005142" w:rsidRDefault="0042497F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март</w:t>
            </w:r>
          </w:p>
          <w:p w:rsidR="00BC5DA4" w:rsidRPr="00005142" w:rsidRDefault="00BC5DA4" w:rsidP="0042497F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276" w:type="dxa"/>
            <w:vAlign w:val="center"/>
          </w:tcPr>
          <w:p w:rsidR="00BC5DA4" w:rsidRPr="00005142" w:rsidRDefault="00BC5DA4" w:rsidP="0042497F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январю</w:t>
            </w:r>
          </w:p>
          <w:p w:rsidR="00BC5DA4" w:rsidRPr="00005142" w:rsidRDefault="00BC5DA4" w:rsidP="0042497F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</w:tr>
      <w:tr w:rsidR="00BC5DA4" w:rsidRPr="00005142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BC5DA4" w:rsidRPr="00005142" w:rsidRDefault="00BC5DA4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Грузооборот, млн. т. км</w:t>
            </w:r>
          </w:p>
        </w:tc>
        <w:tc>
          <w:tcPr>
            <w:tcW w:w="1606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607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iCs/>
              </w:rPr>
            </w:pPr>
            <w:r w:rsidRPr="0042497F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607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3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2497F">
              <w:rPr>
                <w:rFonts w:ascii="Times New Roman" w:hAnsi="Times New Roman" w:cs="Times New Roman"/>
              </w:rPr>
              <w:t>94,6</w:t>
            </w:r>
          </w:p>
        </w:tc>
      </w:tr>
      <w:tr w:rsidR="00BC5DA4" w:rsidRPr="00005142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BC5DA4" w:rsidRPr="00005142" w:rsidRDefault="00BC5DA4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Пассажирооборот, млн. пасс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606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607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iCs/>
              </w:rPr>
            </w:pPr>
            <w:r w:rsidRPr="0042497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607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3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</w:rPr>
            </w:pPr>
            <w:r w:rsidRPr="0042497F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276" w:type="dxa"/>
            <w:vAlign w:val="bottom"/>
          </w:tcPr>
          <w:p w:rsidR="00BC5DA4" w:rsidRPr="0042497F" w:rsidRDefault="0042497F" w:rsidP="0042497F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2497F">
              <w:rPr>
                <w:rFonts w:ascii="Times New Roman" w:hAnsi="Times New Roman" w:cs="Times New Roman"/>
              </w:rPr>
              <w:t>113,2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 xml:space="preserve">В Архангельской области открыта единственная в Европе алмазоносная провинция. </w:t>
      </w:r>
      <w:proofErr w:type="gramStart"/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  <w:proofErr w:type="gramEnd"/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FC1B76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FC1B76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FC1B76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FC1B76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FC1B76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На рынке вакансий в Архангельской области  на 13. 04. 2018 г. представлено 1 424 вакансии, из них в городе Архангельске представлено 634 вакансии.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Средняя  заработная плата, предлагаемая работодателями составляет</w:t>
      </w:r>
      <w:proofErr w:type="gramEnd"/>
      <w:r w:rsidR="0020630D" w:rsidRPr="00005142">
        <w:rPr>
          <w:rFonts w:ascii="Times New Roman" w:eastAsia="Times New Roman" w:hAnsi="Times New Roman" w:cs="Times New Roman"/>
          <w:lang w:eastAsia="ru-RU"/>
        </w:rPr>
        <w:t xml:space="preserve"> 24 000 рублей.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7F31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Уровень средней заработной платы в Архангельской области </w:t>
      </w:r>
      <w:proofErr w:type="gramStart"/>
      <w:r w:rsidRPr="00005142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 последние 8 месяцев</w:t>
      </w:r>
    </w:p>
    <w:p w:rsidR="00CA36A8" w:rsidRPr="00005142" w:rsidRDefault="0020630D" w:rsidP="0042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C3802D7" wp14:editId="0BD1FD8D">
            <wp:extent cx="3780554" cy="1799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48" cy="18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42497F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97F">
        <w:rPr>
          <w:rFonts w:ascii="Times New Roman" w:eastAsia="Times New Roman" w:hAnsi="Times New Roman" w:cs="Times New Roman"/>
          <w:lang w:eastAsia="ru-RU"/>
        </w:rPr>
        <w:lastRenderedPageBreak/>
        <w:t xml:space="preserve">Популярные отрасли по количеству </w:t>
      </w:r>
      <w:r w:rsidR="00CA36A8" w:rsidRPr="0042497F">
        <w:rPr>
          <w:rFonts w:ascii="Times New Roman" w:eastAsia="Times New Roman" w:hAnsi="Times New Roman" w:cs="Times New Roman"/>
          <w:lang w:eastAsia="ru-RU"/>
        </w:rPr>
        <w:t>вакансий в Архангельской области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1F8BF0D" wp14:editId="0EC60B60">
            <wp:extent cx="5287573" cy="2675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расл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18" cy="27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В Архангельской области наиболее востребованы специалисты отрасли Торговля / Продажи.</w:t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Распределение вакансий в Архангельской области</w:t>
      </w:r>
    </w:p>
    <w:p w:rsidR="00CA36A8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AF1772" wp14:editId="7E236BBE">
            <wp:extent cx="4875864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расл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6" cy="26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Как видно на диаграмме, в Архангельской области наибольшее количество вакансий открыто в Архангельске. На втором месте - Северодвинск, а на третьем - Котлас.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FE9577A" wp14:editId="25CDBC1D">
            <wp:extent cx="5124450" cy="2179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сл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4" cy="21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lastRenderedPageBreak/>
        <w:t>Наиболее высокооплачиваемой отраслью в Архангельской области является Недвижимость. Средняя заработная плата в отрасли составляет 67500 руб.</w:t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востребованных профессий в Архангельской области в 2018 году</w:t>
      </w:r>
      <w:r w:rsidR="003F7F31"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0B66160" wp14:editId="4FC28C98">
            <wp:extent cx="5019675" cy="2180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сли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55" cy="21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Продавец кассир является наиболее востребованной профессией в Архангельской области. По данным, количество вакансий составляет 220. Уровень средней заработной платы у профессии Продавец кассир равен 21825 руб.</w:t>
      </w:r>
      <w:r w:rsidR="0042497F">
        <w:rPr>
          <w:rStyle w:val="af9"/>
          <w:rFonts w:ascii="Times New Roman" w:hAnsi="Times New Roman" w:cs="Times New Roman"/>
          <w:shd w:val="clear" w:color="auto" w:fill="FFFFFF"/>
        </w:rPr>
        <w:footnoteReference w:id="1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B026B"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="00DB026B"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="00DB026B"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="00DB026B"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005142" w:rsidRDefault="000223A9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lastRenderedPageBreak/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9,29%)</w:t>
      </w:r>
      <w:proofErr w:type="gramEnd"/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8,85%)</w:t>
      </w:r>
      <w:proofErr w:type="gramEnd"/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lastRenderedPageBreak/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реализации 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инвестиционного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«Архангельский 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завода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Морского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Рынок недвижимости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Архангельске на 09.04.2018 составляет </w:t>
      </w:r>
      <w:r w:rsidRPr="00005142">
        <w:rPr>
          <w:rFonts w:ascii="Times New Roman" w:eastAsia="Times New Roman" w:hAnsi="Times New Roman" w:cs="Times New Roman"/>
          <w:b/>
          <w:i/>
          <w:lang w:eastAsia="ru-RU"/>
        </w:rPr>
        <w:t xml:space="preserve">57 819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proofErr w:type="spellStart"/>
      <w:r w:rsidR="00162CA7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162CA7">
        <w:rPr>
          <w:rFonts w:ascii="Times New Roman" w:eastAsia="Times New Roman" w:hAnsi="Times New Roman" w:cs="Times New Roman"/>
          <w:bCs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рхангельске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09.04.2018 составляет 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2 996 537 руб. (51,6 </w:t>
      </w:r>
      <w:proofErr w:type="spellStart"/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.)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Объём вторичного рынка жилья в городе Архангельске: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129" w:rsidRPr="00005142" w:rsidTr="00175129">
        <w:trPr>
          <w:jc w:val="center"/>
        </w:trPr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продаётся</w:t>
            </w:r>
          </w:p>
        </w:tc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стоимость</w:t>
            </w:r>
          </w:p>
        </w:tc>
        <w:tc>
          <w:tcPr>
            <w:tcW w:w="3191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Совокупная площадь</w:t>
            </w:r>
          </w:p>
        </w:tc>
      </w:tr>
      <w:tr w:rsidR="00175129" w:rsidRPr="00005142" w:rsidTr="00175129">
        <w:trPr>
          <w:jc w:val="center"/>
        </w:trPr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5.7 тыс. квартир</w:t>
            </w:r>
          </w:p>
        </w:tc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16.8 млрд. руб.</w:t>
            </w:r>
          </w:p>
        </w:tc>
        <w:tc>
          <w:tcPr>
            <w:tcW w:w="3191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292.8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Квартиры в городе Архангельске на вторичном рынке: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5129" w:rsidRPr="00005142" w:rsidTr="00175129"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28,5 %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1,6 тыс.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3,5 млрд. руб.</w:t>
            </w:r>
          </w:p>
        </w:tc>
        <w:tc>
          <w:tcPr>
            <w:tcW w:w="1915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53,1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75129" w:rsidRPr="00005142" w:rsidTr="00175129"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36,0 %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2,0 тыс.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5,5 млрд. руб.</w:t>
            </w:r>
          </w:p>
        </w:tc>
        <w:tc>
          <w:tcPr>
            <w:tcW w:w="1915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98,0 тыс</w:t>
            </w:r>
            <w:r w:rsidR="009246B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75129" w:rsidRPr="00005142" w:rsidTr="00175129"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29,2 %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1,7 тыс.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6,2 млрд. руб.</w:t>
            </w:r>
          </w:p>
        </w:tc>
        <w:tc>
          <w:tcPr>
            <w:tcW w:w="1915" w:type="dxa"/>
          </w:tcPr>
          <w:p w:rsidR="00175129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110,5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175129" w:rsidRPr="00005142" w:rsidTr="00175129"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6,4 %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361</w:t>
            </w:r>
          </w:p>
        </w:tc>
        <w:tc>
          <w:tcPr>
            <w:tcW w:w="1914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1,7 млрд. руб.</w:t>
            </w:r>
          </w:p>
        </w:tc>
        <w:tc>
          <w:tcPr>
            <w:tcW w:w="1915" w:type="dxa"/>
          </w:tcPr>
          <w:p w:rsidR="00175129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31,2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875CAD" w:rsidRPr="00005142" w:rsidRDefault="00875CA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9246B1" w:rsidRPr="00005142" w:rsidRDefault="009246B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Средняя цена квартир в </w:t>
      </w:r>
      <w:r w:rsidR="00015311"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городе 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Архангельске </w:t>
      </w:r>
      <w:proofErr w:type="gramStart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( </w:t>
      </w:r>
      <w:proofErr w:type="gramEnd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за 1 </w:t>
      </w:r>
      <w:proofErr w:type="spellStart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. на 09.04.2018 г.):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246B1" w:rsidRPr="00005142" w:rsidTr="0042497F"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</w:t>
            </w:r>
          </w:p>
        </w:tc>
      </w:tr>
      <w:tr w:rsidR="009246B1" w:rsidRPr="00005142" w:rsidTr="0042497F"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65 408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246B1" w:rsidRPr="00005142" w:rsidTr="0042497F"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54 863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246B1" w:rsidRPr="00005142" w:rsidTr="0042497F"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55 385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246B1" w:rsidRPr="00005142" w:rsidTr="0042497F"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9246B1" w:rsidRPr="00005142" w:rsidRDefault="009246B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51 699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9246B1" w:rsidRPr="00005142" w:rsidRDefault="009246B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городе Архангельске на 09.04.2018 г.: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311" w:rsidRPr="00005142" w:rsidTr="00015311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площадь</w:t>
            </w:r>
          </w:p>
        </w:tc>
        <w:tc>
          <w:tcPr>
            <w:tcW w:w="3191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 квартиры</w:t>
            </w:r>
          </w:p>
        </w:tc>
      </w:tr>
      <w:tr w:rsidR="00015311" w:rsidRPr="00005142" w:rsidTr="00015311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32,8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2 149 219 руб.</w:t>
            </w:r>
          </w:p>
        </w:tc>
      </w:tr>
      <w:tr w:rsidR="00015311" w:rsidRPr="00005142" w:rsidTr="00015311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48,0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2 669 862 руб.</w:t>
            </w:r>
          </w:p>
        </w:tc>
      </w:tr>
      <w:tr w:rsidR="00015311" w:rsidRPr="00005142" w:rsidTr="00015311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66,7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3 772 053 руб.</w:t>
            </w:r>
          </w:p>
        </w:tc>
      </w:tr>
      <w:tr w:rsidR="00015311" w:rsidRPr="00005142" w:rsidTr="00015311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86,4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4 612 335 руб.</w:t>
            </w:r>
          </w:p>
        </w:tc>
      </w:tr>
    </w:tbl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09.04.2018 составляет 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70 121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50 000 руб./</w:t>
      </w:r>
      <w:proofErr w:type="spellStart"/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55 000-65 000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43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Средняя цена квартир в  новостройках города Архангельска </w:t>
      </w:r>
      <w:proofErr w:type="gramStart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( </w:t>
      </w:r>
      <w:proofErr w:type="gramEnd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за 1 </w:t>
      </w:r>
      <w:proofErr w:type="spellStart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. на 09.04.2018 г.):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15311" w:rsidRPr="00005142" w:rsidTr="0042497F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</w:t>
            </w:r>
          </w:p>
        </w:tc>
      </w:tr>
      <w:tr w:rsidR="00015311" w:rsidRPr="00005142" w:rsidTr="0042497F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69 959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5311" w:rsidRPr="00005142" w:rsidTr="0042497F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71 168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5311" w:rsidRPr="00005142" w:rsidTr="0042497F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015311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68 465 </w:t>
            </w:r>
            <w:proofErr w:type="spellStart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="00015311"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5311" w:rsidRPr="00005142" w:rsidTr="0042497F">
        <w:tc>
          <w:tcPr>
            <w:tcW w:w="3190" w:type="dxa"/>
          </w:tcPr>
          <w:p w:rsidR="00015311" w:rsidRPr="00005142" w:rsidRDefault="00015311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015311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71 551 </w:t>
            </w:r>
            <w:proofErr w:type="spellStart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="00015311"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="00015311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новостройках Архангельска на 09.04.2018 г.: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площадь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 квартиры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39,1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2 727 538 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54,7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3 830 080 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75,6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5 150 968 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Многокомнатные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103,1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7 453 617 руб.</w:t>
            </w:r>
          </w:p>
        </w:tc>
      </w:tr>
    </w:tbl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62CA7">
        <w:rPr>
          <w:rFonts w:ascii="Times New Roman" w:hAnsi="Times New Roman" w:cs="Times New Roman"/>
        </w:rPr>
        <w:t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</w:t>
      </w:r>
      <w:r w:rsidRPr="00162CA7">
        <w:rPr>
          <w:rFonts w:ascii="Times New Roman" w:hAnsi="Times New Roman" w:cs="Times New Roman"/>
        </w:rPr>
        <w:t>р</w:t>
      </w:r>
      <w:r w:rsidRPr="00162CA7">
        <w:rPr>
          <w:rFonts w:ascii="Times New Roman" w:hAnsi="Times New Roman" w:cs="Times New Roman"/>
        </w:rPr>
        <w:t xml:space="preserve">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  <w:proofErr w:type="gramEnd"/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 коммерческой недвижимости на 13.04.2018 г. </w:t>
      </w:r>
      <w:r w:rsidR="00E351B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997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предложений, из них: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Универсальное помещение – 295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Офисное помещение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, для работы </w:t>
      </w:r>
      <w:proofErr w:type="gramStart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 клиентам – 218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Магазин, выставочный зал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, торговые площади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140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Склады, хранение товаров, складское помещение – 65;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Салон красоты, парикмахерская – 61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Медицинский центр, стоматология – 37;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Производственное помещение – 34;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Кафе, бар, ресторан – 32;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Непищевое, промышленное производство – 26;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Гостиница, отель – 24;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Готовый бизнес – 23;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Автосервис, автомойка – 22;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Фитнес-центр, спортивный зал – 20;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Цена и величина арендной платы будет зависеть от месторасположения</w:t>
      </w:r>
      <w:r w:rsidRPr="00162CA7">
        <w:rPr>
          <w:rFonts w:ascii="Times New Roman" w:hAnsi="Times New Roman" w:cs="Times New Roman"/>
        </w:rPr>
        <w:t xml:space="preserve">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  <w:proofErr w:type="gramEnd"/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4 зона - оставшиеся районы города, </w:t>
      </w:r>
      <w:proofErr w:type="spellStart"/>
      <w:r w:rsidRPr="00CB2483">
        <w:rPr>
          <w:rFonts w:ascii="Times New Roman" w:hAnsi="Times New Roman" w:cs="Times New Roman"/>
        </w:rPr>
        <w:t>Варавин</w:t>
      </w:r>
      <w:proofErr w:type="gramStart"/>
      <w:r w:rsidRPr="00CB2483">
        <w:rPr>
          <w:rFonts w:ascii="Times New Roman" w:hAnsi="Times New Roman" w:cs="Times New Roman"/>
        </w:rPr>
        <w:t>о</w:t>
      </w:r>
      <w:proofErr w:type="spellEnd"/>
      <w:r w:rsidRPr="00CB2483">
        <w:rPr>
          <w:rFonts w:ascii="Times New Roman" w:hAnsi="Times New Roman" w:cs="Times New Roman"/>
        </w:rPr>
        <w:t>-</w:t>
      </w:r>
      <w:proofErr w:type="gramEnd"/>
      <w:r w:rsidRPr="00CB2483">
        <w:rPr>
          <w:rFonts w:ascii="Times New Roman" w:hAnsi="Times New Roman" w:cs="Times New Roman"/>
        </w:rPr>
        <w:t xml:space="preserve"> 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60000-65000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центрах – 45000-55000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600-700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lang w:eastAsia="ru-RU"/>
        </w:rPr>
        <w:t>в районных центрах –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150-500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</w:t>
      </w:r>
      <w:r w:rsidRPr="00162CA7">
        <w:rPr>
          <w:rFonts w:ascii="Times New Roman" w:hAnsi="Times New Roman" w:cs="Times New Roman"/>
        </w:rPr>
        <w:t>а</w:t>
      </w:r>
      <w:r w:rsidRPr="00162CA7">
        <w:rPr>
          <w:rFonts w:ascii="Times New Roman" w:hAnsi="Times New Roman" w:cs="Times New Roman"/>
        </w:rPr>
        <w:t xml:space="preserve">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</w:t>
      </w:r>
      <w:r w:rsidRPr="00162CA7">
        <w:rPr>
          <w:rFonts w:ascii="Times New Roman" w:hAnsi="Times New Roman" w:cs="Times New Roman"/>
        </w:rPr>
        <w:t>у</w:t>
      </w:r>
      <w:r w:rsidRPr="00162CA7">
        <w:rPr>
          <w:rFonts w:ascii="Times New Roman" w:hAnsi="Times New Roman" w:cs="Times New Roman"/>
        </w:rPr>
        <w:t>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lastRenderedPageBreak/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</w:t>
      </w:r>
      <w:r w:rsidRPr="00162CA7">
        <w:rPr>
          <w:rFonts w:ascii="Times New Roman" w:hAnsi="Times New Roman" w:cs="Times New Roman"/>
        </w:rPr>
        <w:t>н</w:t>
      </w:r>
      <w:r w:rsidRPr="00162CA7">
        <w:rPr>
          <w:rFonts w:ascii="Times New Roman" w:hAnsi="Times New Roman" w:cs="Times New Roman"/>
        </w:rPr>
        <w:t xml:space="preserve">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>Земельные участки для индивидуального жилищного строительства (ИЖС) и промы</w:t>
      </w:r>
      <w:r w:rsidRPr="00162CA7">
        <w:rPr>
          <w:rFonts w:ascii="Times New Roman" w:hAnsi="Times New Roman" w:cs="Times New Roman"/>
        </w:rPr>
        <w:t>ш</w:t>
      </w:r>
      <w:r w:rsidRPr="00162CA7">
        <w:rPr>
          <w:rFonts w:ascii="Times New Roman" w:hAnsi="Times New Roman" w:cs="Times New Roman"/>
        </w:rPr>
        <w:t>ленных объектов представлены на продажу в крупных городах Архангельской области, в п</w:t>
      </w:r>
      <w:r w:rsidRPr="00162CA7">
        <w:rPr>
          <w:rFonts w:ascii="Times New Roman" w:hAnsi="Times New Roman" w:cs="Times New Roman"/>
        </w:rPr>
        <w:t>е</w:t>
      </w:r>
      <w:r w:rsidRPr="00162CA7">
        <w:rPr>
          <w:rFonts w:ascii="Times New Roman" w:hAnsi="Times New Roman" w:cs="Times New Roman"/>
        </w:rPr>
        <w:t>риферийных районах городов. В небольших районных центрах: городах и поселках горо</w:t>
      </w:r>
      <w:r w:rsidRPr="00162CA7">
        <w:rPr>
          <w:rFonts w:ascii="Times New Roman" w:hAnsi="Times New Roman" w:cs="Times New Roman"/>
        </w:rPr>
        <w:t>д</w:t>
      </w:r>
      <w:r w:rsidRPr="00162CA7">
        <w:rPr>
          <w:rFonts w:ascii="Times New Roman" w:hAnsi="Times New Roman" w:cs="Times New Roman"/>
        </w:rPr>
        <w:t>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</w:t>
      </w:r>
      <w:r w:rsidRPr="00162CA7">
        <w:rPr>
          <w:rFonts w:ascii="Times New Roman" w:hAnsi="Times New Roman" w:cs="Times New Roman"/>
        </w:rPr>
        <w:t>а</w:t>
      </w:r>
      <w:r w:rsidRPr="00162CA7">
        <w:rPr>
          <w:rFonts w:ascii="Times New Roman" w:hAnsi="Times New Roman" w:cs="Times New Roman"/>
        </w:rPr>
        <w:t xml:space="preserve">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</w:t>
      </w:r>
      <w:r w:rsidRPr="00162CA7">
        <w:rPr>
          <w:rFonts w:ascii="Times New Roman" w:hAnsi="Times New Roman" w:cs="Times New Roman"/>
        </w:rPr>
        <w:t>т</w:t>
      </w:r>
      <w:r w:rsidRPr="00162CA7">
        <w:rPr>
          <w:rFonts w:ascii="Times New Roman" w:hAnsi="Times New Roman" w:cs="Times New Roman"/>
        </w:rPr>
        <w:t>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</w:t>
      </w:r>
      <w:r w:rsidRPr="00FD2C93">
        <w:rPr>
          <w:rStyle w:val="FontStyle199"/>
          <w:sz w:val="24"/>
          <w:szCs w:val="24"/>
        </w:rPr>
        <w:t>и</w:t>
      </w:r>
      <w:r w:rsidRPr="00FD2C93">
        <w:rPr>
          <w:rStyle w:val="FontStyle199"/>
          <w:sz w:val="24"/>
          <w:szCs w:val="24"/>
        </w:rPr>
        <w:t>рокий и 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</w:t>
      </w:r>
      <w:r w:rsidRPr="00FD2C93">
        <w:rPr>
          <w:rStyle w:val="FontStyle199"/>
          <w:sz w:val="24"/>
          <w:szCs w:val="24"/>
        </w:rPr>
        <w:t>е</w:t>
      </w:r>
      <w:r w:rsidRPr="00FD2C93">
        <w:rPr>
          <w:rStyle w:val="FontStyle199"/>
          <w:sz w:val="24"/>
          <w:szCs w:val="24"/>
        </w:rPr>
        <w:t>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На 13.04.2018 г. на рынке земельных участков представлено </w:t>
      </w:r>
      <w:r w:rsidR="00AC7C3E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457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предложений, из них: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Земли поселений (ИЖС) – 239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66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30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35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194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CB2483">
        <w:rPr>
          <w:rFonts w:ascii="Times New Roman" w:eastAsia="Times New Roman" w:hAnsi="Times New Roman" w:cs="Times New Roman"/>
          <w:bCs/>
          <w:lang w:eastAsia="ru-RU"/>
        </w:rPr>
        <w:t xml:space="preserve"> 10-40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24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CB2483">
        <w:rPr>
          <w:rFonts w:ascii="Times New Roman" w:eastAsia="Times New Roman" w:hAnsi="Times New Roman" w:cs="Times New Roman"/>
          <w:bCs/>
          <w:lang w:eastAsia="ru-RU"/>
        </w:rPr>
        <w:t xml:space="preserve"> 15-50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Pr="00005142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46B1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76" w:rsidRDefault="00FC1B76" w:rsidP="0042497F">
      <w:pPr>
        <w:spacing w:after="0" w:line="240" w:lineRule="auto"/>
      </w:pPr>
      <w:r>
        <w:separator/>
      </w:r>
    </w:p>
  </w:endnote>
  <w:endnote w:type="continuationSeparator" w:id="0">
    <w:p w:rsidR="00FC1B76" w:rsidRDefault="00FC1B76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76" w:rsidRDefault="00FC1B76" w:rsidP="0042497F">
      <w:pPr>
        <w:spacing w:after="0" w:line="240" w:lineRule="auto"/>
      </w:pPr>
      <w:r>
        <w:separator/>
      </w:r>
    </w:p>
  </w:footnote>
  <w:footnote w:type="continuationSeparator" w:id="0">
    <w:p w:rsidR="00FC1B76" w:rsidRDefault="00FC1B76" w:rsidP="0042497F">
      <w:pPr>
        <w:spacing w:after="0" w:line="240" w:lineRule="auto"/>
      </w:pPr>
      <w:r>
        <w:continuationSeparator/>
      </w:r>
    </w:p>
  </w:footnote>
  <w:footnote w:id="1">
    <w:p w:rsidR="0042497F" w:rsidRPr="0042497F" w:rsidRDefault="0042497F">
      <w:pPr>
        <w:pStyle w:val="af7"/>
        <w:rPr>
          <w:lang w:val="en-US"/>
        </w:rPr>
      </w:pPr>
      <w:r>
        <w:rPr>
          <w:rStyle w:val="af9"/>
        </w:rPr>
        <w:footnoteRef/>
      </w:r>
      <w:hyperlink r:id="rId1" w:history="1">
        <w:r w:rsidRPr="00E366F8">
          <w:rPr>
            <w:rStyle w:val="a6"/>
            <w:lang w:val="en-US"/>
          </w:rPr>
          <w:t>www.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trud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EB"/>
    <w:rsid w:val="00005142"/>
    <w:rsid w:val="00015311"/>
    <w:rsid w:val="000223A9"/>
    <w:rsid w:val="00027A8C"/>
    <w:rsid w:val="00052394"/>
    <w:rsid w:val="0006047D"/>
    <w:rsid w:val="000776EB"/>
    <w:rsid w:val="000D08D3"/>
    <w:rsid w:val="000E2106"/>
    <w:rsid w:val="000F22B0"/>
    <w:rsid w:val="001275F4"/>
    <w:rsid w:val="0014361C"/>
    <w:rsid w:val="00152C50"/>
    <w:rsid w:val="00162CA7"/>
    <w:rsid w:val="00175129"/>
    <w:rsid w:val="00200995"/>
    <w:rsid w:val="0020630D"/>
    <w:rsid w:val="0022587C"/>
    <w:rsid w:val="00227B9C"/>
    <w:rsid w:val="00261753"/>
    <w:rsid w:val="002706AE"/>
    <w:rsid w:val="00291798"/>
    <w:rsid w:val="002D32B7"/>
    <w:rsid w:val="003718A8"/>
    <w:rsid w:val="003F7F31"/>
    <w:rsid w:val="0042497F"/>
    <w:rsid w:val="004407F3"/>
    <w:rsid w:val="0044578F"/>
    <w:rsid w:val="0046503A"/>
    <w:rsid w:val="005C1008"/>
    <w:rsid w:val="005D6A07"/>
    <w:rsid w:val="00610FE8"/>
    <w:rsid w:val="00621614"/>
    <w:rsid w:val="0063179C"/>
    <w:rsid w:val="00690F74"/>
    <w:rsid w:val="006E7ED4"/>
    <w:rsid w:val="007040D5"/>
    <w:rsid w:val="00706A46"/>
    <w:rsid w:val="00713A87"/>
    <w:rsid w:val="00713B70"/>
    <w:rsid w:val="007158D7"/>
    <w:rsid w:val="00715AA5"/>
    <w:rsid w:val="00752F7A"/>
    <w:rsid w:val="00774A84"/>
    <w:rsid w:val="00813493"/>
    <w:rsid w:val="00845BDC"/>
    <w:rsid w:val="00875CAD"/>
    <w:rsid w:val="008A688F"/>
    <w:rsid w:val="0090716C"/>
    <w:rsid w:val="009246B1"/>
    <w:rsid w:val="00935179"/>
    <w:rsid w:val="00956DB3"/>
    <w:rsid w:val="009A3138"/>
    <w:rsid w:val="009B5FC6"/>
    <w:rsid w:val="009B6FF3"/>
    <w:rsid w:val="009B7C63"/>
    <w:rsid w:val="009D6FF4"/>
    <w:rsid w:val="00AC7C3E"/>
    <w:rsid w:val="00BB09C2"/>
    <w:rsid w:val="00BC5DA4"/>
    <w:rsid w:val="00BD1859"/>
    <w:rsid w:val="00C252C3"/>
    <w:rsid w:val="00C5275F"/>
    <w:rsid w:val="00C60921"/>
    <w:rsid w:val="00C905EB"/>
    <w:rsid w:val="00CA36A8"/>
    <w:rsid w:val="00CB2483"/>
    <w:rsid w:val="00CB5F17"/>
    <w:rsid w:val="00CE302E"/>
    <w:rsid w:val="00DA3BC1"/>
    <w:rsid w:val="00DB026B"/>
    <w:rsid w:val="00DF60FD"/>
    <w:rsid w:val="00DF7F7D"/>
    <w:rsid w:val="00E351BF"/>
    <w:rsid w:val="00E363A1"/>
    <w:rsid w:val="00E7277A"/>
    <w:rsid w:val="00E838B0"/>
    <w:rsid w:val="00F047E7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base.ru/electricity-retail/rusenergosby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ergybase.ru/electricity-retail/pomorskie_powe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base.ru/electricity-retail/oboronenergosby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energybase.ru/electricity-retail/ar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ergybase.ru/electricity-retail/arkhangelsk_regional_energy_company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5257-D64D-489F-A192-197A9B7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Пользователь Windows</cp:lastModifiedBy>
  <cp:revision>15</cp:revision>
  <dcterms:created xsi:type="dcterms:W3CDTF">2018-04-10T11:48:00Z</dcterms:created>
  <dcterms:modified xsi:type="dcterms:W3CDTF">2018-04-30T08:50:00Z</dcterms:modified>
</cp:coreProperties>
</file>